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799CC5">
      <w:pPr>
        <w:pageBreakBefore w:val="0"/>
        <w:kinsoku/>
        <w:wordWrap/>
        <w:overflowPunct/>
        <w:topLinePunct w:val="0"/>
        <w:autoSpaceDE w:val="0"/>
        <w:autoSpaceDN w:val="0"/>
        <w:bidi w:val="0"/>
        <w:adjustRightInd w:val="0"/>
        <w:snapToGrid/>
        <w:spacing w:line="600" w:lineRule="exact"/>
        <w:jc w:val="both"/>
        <w:textAlignment w:val="auto"/>
        <w:rPr>
          <w:rFonts w:ascii="Times New Roman" w:hAnsi="Times New Roman" w:eastAsia="方正小标宋简体" w:cs="方正小标宋简体"/>
          <w:kern w:val="0"/>
          <w:sz w:val="48"/>
          <w:szCs w:val="48"/>
          <w:lang w:val="zh-CN"/>
        </w:rPr>
      </w:pPr>
    </w:p>
    <w:p w14:paraId="6CE2D29E">
      <w:pPr>
        <w:pageBreakBefore w:val="0"/>
        <w:kinsoku/>
        <w:wordWrap/>
        <w:overflowPunct/>
        <w:topLinePunct w:val="0"/>
        <w:autoSpaceDE w:val="0"/>
        <w:autoSpaceDN w:val="0"/>
        <w:bidi w:val="0"/>
        <w:adjustRightInd w:val="0"/>
        <w:snapToGrid/>
        <w:spacing w:line="600" w:lineRule="exact"/>
        <w:jc w:val="both"/>
        <w:textAlignment w:val="auto"/>
        <w:rPr>
          <w:rFonts w:ascii="Times New Roman" w:hAnsi="Times New Roman" w:eastAsia="方正小标宋简体" w:cs="方正小标宋简体"/>
          <w:kern w:val="0"/>
          <w:sz w:val="48"/>
          <w:szCs w:val="48"/>
          <w:lang w:val="zh-CN"/>
        </w:rPr>
      </w:pPr>
    </w:p>
    <w:p w14:paraId="73BEFEB8">
      <w:pPr>
        <w:pageBreakBefore w:val="0"/>
        <w:kinsoku/>
        <w:wordWrap/>
        <w:overflowPunct/>
        <w:topLinePunct w:val="0"/>
        <w:autoSpaceDE w:val="0"/>
        <w:autoSpaceDN w:val="0"/>
        <w:bidi w:val="0"/>
        <w:adjustRightInd w:val="0"/>
        <w:snapToGrid/>
        <w:spacing w:line="600" w:lineRule="exact"/>
        <w:jc w:val="both"/>
        <w:textAlignment w:val="auto"/>
        <w:rPr>
          <w:rFonts w:ascii="Times New Roman" w:hAnsi="Times New Roman" w:eastAsia="方正小标宋简体" w:cs="方正小标宋简体"/>
          <w:kern w:val="0"/>
          <w:sz w:val="48"/>
          <w:szCs w:val="48"/>
          <w:lang w:val="zh-CN"/>
        </w:rPr>
      </w:pPr>
    </w:p>
    <w:p w14:paraId="36589363">
      <w:pPr>
        <w:pageBreakBefore w:val="0"/>
        <w:kinsoku/>
        <w:wordWrap/>
        <w:overflowPunct/>
        <w:topLinePunct w:val="0"/>
        <w:autoSpaceDE w:val="0"/>
        <w:autoSpaceDN w:val="0"/>
        <w:bidi w:val="0"/>
        <w:adjustRightInd w:val="0"/>
        <w:snapToGrid/>
        <w:spacing w:line="600" w:lineRule="exact"/>
        <w:jc w:val="both"/>
        <w:textAlignment w:val="auto"/>
        <w:rPr>
          <w:rFonts w:ascii="Times New Roman" w:hAnsi="Times New Roman" w:eastAsia="方正小标宋简体" w:cs="方正小标宋简体"/>
          <w:kern w:val="0"/>
          <w:sz w:val="48"/>
          <w:szCs w:val="48"/>
          <w:lang w:val="zh-CN"/>
        </w:rPr>
      </w:pPr>
    </w:p>
    <w:p w14:paraId="7C7A7779">
      <w:pPr>
        <w:pageBreakBefore w:val="0"/>
        <w:kinsoku/>
        <w:wordWrap/>
        <w:overflowPunct/>
        <w:topLinePunct w:val="0"/>
        <w:autoSpaceDE w:val="0"/>
        <w:autoSpaceDN w:val="0"/>
        <w:bidi w:val="0"/>
        <w:adjustRightInd w:val="0"/>
        <w:snapToGrid/>
        <w:spacing w:line="600" w:lineRule="exact"/>
        <w:jc w:val="both"/>
        <w:textAlignment w:val="auto"/>
        <w:rPr>
          <w:rFonts w:ascii="Times New Roman" w:hAnsi="Times New Roman" w:eastAsia="方正小标宋简体" w:cs="方正小标宋简体"/>
          <w:kern w:val="0"/>
          <w:sz w:val="48"/>
          <w:szCs w:val="48"/>
          <w:lang w:val="zh-CN"/>
        </w:rPr>
      </w:pPr>
    </w:p>
    <w:p w14:paraId="4D443002">
      <w:pPr>
        <w:pageBreakBefore w:val="0"/>
        <w:kinsoku/>
        <w:wordWrap/>
        <w:overflowPunct/>
        <w:topLinePunct w:val="0"/>
        <w:autoSpaceDE w:val="0"/>
        <w:autoSpaceDN w:val="0"/>
        <w:bidi w:val="0"/>
        <w:adjustRightInd w:val="0"/>
        <w:snapToGrid/>
        <w:spacing w:line="600" w:lineRule="exact"/>
        <w:jc w:val="both"/>
        <w:textAlignment w:val="auto"/>
        <w:rPr>
          <w:rFonts w:ascii="Times New Roman" w:hAnsi="Times New Roman" w:eastAsia="方正小标宋简体" w:cs="方正小标宋简体"/>
          <w:kern w:val="0"/>
          <w:sz w:val="48"/>
          <w:szCs w:val="48"/>
          <w:lang w:val="zh-CN"/>
        </w:rPr>
      </w:pPr>
    </w:p>
    <w:p w14:paraId="281D98FA">
      <w:pPr>
        <w:pageBreakBefore w:val="0"/>
        <w:kinsoku/>
        <w:wordWrap/>
        <w:overflowPunct/>
        <w:topLinePunct w:val="0"/>
        <w:autoSpaceDE w:val="0"/>
        <w:autoSpaceDN w:val="0"/>
        <w:bidi w:val="0"/>
        <w:adjustRightInd w:val="0"/>
        <w:snapToGrid/>
        <w:spacing w:line="600" w:lineRule="exact"/>
        <w:jc w:val="both"/>
        <w:textAlignment w:val="auto"/>
        <w:rPr>
          <w:rFonts w:ascii="Times New Roman" w:hAnsi="Times New Roman" w:eastAsia="方正小标宋简体" w:cs="方正小标宋简体"/>
          <w:kern w:val="0"/>
          <w:sz w:val="48"/>
          <w:szCs w:val="48"/>
          <w:lang w:val="zh-CN"/>
        </w:rPr>
      </w:pPr>
    </w:p>
    <w:p w14:paraId="0C85B753">
      <w:pPr>
        <w:pageBreakBefore w:val="0"/>
        <w:kinsoku/>
        <w:wordWrap/>
        <w:overflowPunct/>
        <w:topLinePunct w:val="0"/>
        <w:autoSpaceDE w:val="0"/>
        <w:autoSpaceDN w:val="0"/>
        <w:bidi w:val="0"/>
        <w:adjustRightInd w:val="0"/>
        <w:snapToGrid/>
        <w:spacing w:line="600" w:lineRule="exact"/>
        <w:jc w:val="center"/>
        <w:textAlignment w:val="auto"/>
        <w:rPr>
          <w:rFonts w:ascii="Times New Roman" w:hAnsi="Times New Roman" w:eastAsia="方正小标宋简体" w:cs="方正小标宋简体"/>
          <w:kern w:val="0"/>
          <w:sz w:val="48"/>
          <w:szCs w:val="48"/>
          <w:lang w:val="zh-CN"/>
        </w:rPr>
      </w:pPr>
    </w:p>
    <w:p w14:paraId="3DD7FAE1">
      <w:pPr>
        <w:pageBreakBefore w:val="0"/>
        <w:kinsoku/>
        <w:wordWrap/>
        <w:overflowPunct/>
        <w:topLinePunct w:val="0"/>
        <w:autoSpaceDE w:val="0"/>
        <w:autoSpaceDN w:val="0"/>
        <w:bidi w:val="0"/>
        <w:adjustRightInd w:val="0"/>
        <w:snapToGrid/>
        <w:spacing w:line="600" w:lineRule="exact"/>
        <w:jc w:val="center"/>
        <w:textAlignment w:val="auto"/>
        <w:rPr>
          <w:rFonts w:ascii="Times New Roman" w:hAnsi="Times New Roman" w:eastAsia="方正小标宋简体" w:cs="方正小标宋简体"/>
          <w:kern w:val="0"/>
          <w:sz w:val="48"/>
          <w:szCs w:val="48"/>
          <w:lang w:val="zh-CN"/>
        </w:rPr>
      </w:pPr>
      <w:r>
        <w:rPr>
          <w:rFonts w:hint="eastAsia" w:ascii="Times New Roman" w:hAnsi="Times New Roman" w:eastAsia="方正小标宋简体" w:cs="方正小标宋简体"/>
          <w:kern w:val="0"/>
          <w:sz w:val="48"/>
          <w:szCs w:val="48"/>
          <w:lang w:val="zh-CN"/>
        </w:rPr>
        <w:t>中国国际贸易促进委员会天津市分会</w:t>
      </w:r>
    </w:p>
    <w:p w14:paraId="00CD17EC">
      <w:pPr>
        <w:pageBreakBefore w:val="0"/>
        <w:kinsoku/>
        <w:wordWrap/>
        <w:overflowPunct/>
        <w:topLinePunct w:val="0"/>
        <w:autoSpaceDE w:val="0"/>
        <w:autoSpaceDN w:val="0"/>
        <w:bidi w:val="0"/>
        <w:adjustRightInd w:val="0"/>
        <w:snapToGrid/>
        <w:spacing w:line="600" w:lineRule="exact"/>
        <w:jc w:val="center"/>
        <w:textAlignment w:val="auto"/>
        <w:rPr>
          <w:rFonts w:ascii="Times New Roman" w:hAnsi="Times New Roman" w:eastAsia="方正小标宋简体" w:cs="方正小标宋简体"/>
          <w:kern w:val="0"/>
          <w:sz w:val="48"/>
          <w:szCs w:val="48"/>
          <w:lang w:val="zh-CN"/>
        </w:rPr>
      </w:pPr>
      <w:r>
        <w:rPr>
          <w:rFonts w:hint="eastAsia" w:ascii="Times New Roman" w:hAnsi="Times New Roman" w:eastAsia="方正小标宋简体" w:cs="方正小标宋简体"/>
          <w:kern w:val="0"/>
          <w:sz w:val="48"/>
          <w:szCs w:val="48"/>
          <w:lang w:val="zh-CN"/>
        </w:rPr>
        <w:t>2023年度部门决算</w:t>
      </w:r>
    </w:p>
    <w:p w14:paraId="7F3CB1B3">
      <w:pPr>
        <w:pageBreakBefore w:val="0"/>
        <w:kinsoku/>
        <w:wordWrap/>
        <w:overflowPunct/>
        <w:topLinePunct w:val="0"/>
        <w:autoSpaceDE w:val="0"/>
        <w:autoSpaceDN w:val="0"/>
        <w:bidi w:val="0"/>
        <w:adjustRightInd w:val="0"/>
        <w:snapToGrid/>
        <w:spacing w:line="600" w:lineRule="exact"/>
        <w:jc w:val="both"/>
        <w:textAlignment w:val="auto"/>
        <w:rPr>
          <w:rFonts w:ascii="Times New Roman" w:hAnsi="Times New Roman" w:eastAsia="黑体" w:cs="黑体"/>
          <w:sz w:val="30"/>
          <w:szCs w:val="30"/>
        </w:rPr>
      </w:pPr>
    </w:p>
    <w:p w14:paraId="32613BBC">
      <w:pPr>
        <w:pageBreakBefore w:val="0"/>
        <w:kinsoku/>
        <w:wordWrap/>
        <w:overflowPunct/>
        <w:topLinePunct w:val="0"/>
        <w:autoSpaceDE w:val="0"/>
        <w:autoSpaceDN w:val="0"/>
        <w:bidi w:val="0"/>
        <w:adjustRightInd w:val="0"/>
        <w:snapToGrid/>
        <w:spacing w:line="600" w:lineRule="exact"/>
        <w:jc w:val="both"/>
        <w:textAlignment w:val="auto"/>
        <w:rPr>
          <w:rFonts w:ascii="Times New Roman" w:hAnsi="Times New Roman" w:eastAsia="黑体" w:cs="黑体"/>
          <w:sz w:val="30"/>
          <w:szCs w:val="30"/>
        </w:rPr>
      </w:pPr>
    </w:p>
    <w:p w14:paraId="39CBF861">
      <w:pPr>
        <w:pageBreakBefore w:val="0"/>
        <w:kinsoku/>
        <w:wordWrap/>
        <w:overflowPunct/>
        <w:topLinePunct w:val="0"/>
        <w:autoSpaceDE w:val="0"/>
        <w:autoSpaceDN w:val="0"/>
        <w:bidi w:val="0"/>
        <w:adjustRightInd w:val="0"/>
        <w:snapToGrid/>
        <w:spacing w:line="600" w:lineRule="exact"/>
        <w:jc w:val="both"/>
        <w:textAlignment w:val="auto"/>
        <w:rPr>
          <w:rFonts w:ascii="Times New Roman" w:hAnsi="Times New Roman" w:eastAsia="黑体" w:cs="黑体"/>
          <w:sz w:val="30"/>
          <w:szCs w:val="30"/>
        </w:rPr>
      </w:pPr>
    </w:p>
    <w:p w14:paraId="0359A351">
      <w:pPr>
        <w:pageBreakBefore w:val="0"/>
        <w:kinsoku/>
        <w:wordWrap/>
        <w:overflowPunct/>
        <w:topLinePunct w:val="0"/>
        <w:autoSpaceDE w:val="0"/>
        <w:autoSpaceDN w:val="0"/>
        <w:bidi w:val="0"/>
        <w:adjustRightInd w:val="0"/>
        <w:snapToGrid/>
        <w:spacing w:line="600" w:lineRule="exact"/>
        <w:jc w:val="both"/>
        <w:textAlignment w:val="auto"/>
        <w:rPr>
          <w:rFonts w:ascii="Times New Roman" w:hAnsi="Times New Roman" w:eastAsia="黑体" w:cs="黑体"/>
          <w:sz w:val="30"/>
          <w:szCs w:val="30"/>
        </w:rPr>
      </w:pPr>
    </w:p>
    <w:p w14:paraId="0AC93050">
      <w:pPr>
        <w:pageBreakBefore w:val="0"/>
        <w:kinsoku/>
        <w:wordWrap/>
        <w:overflowPunct/>
        <w:topLinePunct w:val="0"/>
        <w:autoSpaceDE w:val="0"/>
        <w:autoSpaceDN w:val="0"/>
        <w:bidi w:val="0"/>
        <w:adjustRightInd w:val="0"/>
        <w:snapToGrid/>
        <w:spacing w:line="600" w:lineRule="exact"/>
        <w:jc w:val="both"/>
        <w:textAlignment w:val="auto"/>
        <w:rPr>
          <w:rFonts w:ascii="Times New Roman" w:hAnsi="Times New Roman" w:eastAsia="黑体" w:cs="黑体"/>
          <w:sz w:val="30"/>
          <w:szCs w:val="30"/>
        </w:rPr>
      </w:pPr>
    </w:p>
    <w:p w14:paraId="1E19A79B">
      <w:pPr>
        <w:pageBreakBefore w:val="0"/>
        <w:kinsoku/>
        <w:wordWrap/>
        <w:overflowPunct/>
        <w:topLinePunct w:val="0"/>
        <w:autoSpaceDE w:val="0"/>
        <w:autoSpaceDN w:val="0"/>
        <w:bidi w:val="0"/>
        <w:adjustRightInd w:val="0"/>
        <w:snapToGrid/>
        <w:spacing w:line="600" w:lineRule="exact"/>
        <w:jc w:val="both"/>
        <w:textAlignment w:val="auto"/>
        <w:rPr>
          <w:rFonts w:ascii="Times New Roman" w:hAnsi="Times New Roman" w:eastAsia="黑体" w:cs="黑体"/>
          <w:kern w:val="0"/>
          <w:sz w:val="44"/>
          <w:szCs w:val="44"/>
        </w:rPr>
      </w:pPr>
      <w:r>
        <w:rPr>
          <w:rFonts w:ascii="Times New Roman" w:hAnsi="Times New Roman" w:eastAsia="黑体" w:cs="黑体"/>
          <w:sz w:val="30"/>
          <w:szCs w:val="30"/>
        </w:rPr>
        <w:br w:type="page"/>
      </w:r>
    </w:p>
    <w:p w14:paraId="4998EA8C">
      <w:pPr>
        <w:pageBreakBefore w:val="0"/>
        <w:kinsoku/>
        <w:wordWrap/>
        <w:overflowPunct/>
        <w:topLinePunct w:val="0"/>
        <w:autoSpaceDE w:val="0"/>
        <w:autoSpaceDN w:val="0"/>
        <w:bidi w:val="0"/>
        <w:adjustRightInd w:val="0"/>
        <w:snapToGrid/>
        <w:spacing w:line="600" w:lineRule="exact"/>
        <w:jc w:val="center"/>
        <w:textAlignment w:val="auto"/>
        <w:rPr>
          <w:rFonts w:ascii="Times New Roman" w:hAnsi="Times New Roman" w:eastAsia="黑体" w:cs="黑体"/>
          <w:kern w:val="0"/>
          <w:sz w:val="44"/>
          <w:szCs w:val="44"/>
        </w:rPr>
      </w:pPr>
      <w:r>
        <w:rPr>
          <w:rFonts w:hint="eastAsia" w:ascii="Times New Roman" w:hAnsi="Times New Roman" w:eastAsia="黑体" w:cs="黑体"/>
          <w:kern w:val="0"/>
          <w:sz w:val="44"/>
          <w:szCs w:val="44"/>
        </w:rPr>
        <w:t>目   录</w:t>
      </w:r>
    </w:p>
    <w:p w14:paraId="7D0C4B77">
      <w:pPr>
        <w:pageBreakBefore w:val="0"/>
        <w:kinsoku/>
        <w:wordWrap/>
        <w:overflowPunct/>
        <w:topLinePunct w:val="0"/>
        <w:autoSpaceDE w:val="0"/>
        <w:autoSpaceDN w:val="0"/>
        <w:bidi w:val="0"/>
        <w:adjustRightInd w:val="0"/>
        <w:snapToGrid/>
        <w:spacing w:line="600" w:lineRule="exact"/>
        <w:jc w:val="both"/>
        <w:textAlignment w:val="auto"/>
        <w:rPr>
          <w:rFonts w:ascii="Times New Roman" w:hAnsi="Times New Roman" w:eastAsia="黑体" w:cs="黑体"/>
          <w:kern w:val="0"/>
          <w:sz w:val="30"/>
          <w:szCs w:val="30"/>
        </w:rPr>
      </w:pPr>
    </w:p>
    <w:p w14:paraId="6CD49A8C">
      <w:pPr>
        <w:pageBreakBefore w:val="0"/>
        <w:tabs>
          <w:tab w:val="right" w:leader="dot" w:pos="8306"/>
        </w:tabs>
        <w:kinsoku/>
        <w:wordWrap/>
        <w:overflowPunct/>
        <w:topLinePunct w:val="0"/>
        <w:autoSpaceDE w:val="0"/>
        <w:autoSpaceDN w:val="0"/>
        <w:bidi w:val="0"/>
        <w:adjustRightInd w:val="0"/>
        <w:snapToGrid/>
        <w:spacing w:line="600" w:lineRule="exact"/>
        <w:jc w:val="both"/>
        <w:textAlignment w:val="auto"/>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第一部分  概 况</w:t>
      </w:r>
    </w:p>
    <w:p w14:paraId="080E1C34">
      <w:pPr>
        <w:pageBreakBefore w:val="0"/>
        <w:tabs>
          <w:tab w:val="right" w:leader="dot" w:pos="8306"/>
        </w:tabs>
        <w:kinsoku/>
        <w:wordWrap/>
        <w:overflowPunct/>
        <w:topLinePunct w:val="0"/>
        <w:autoSpaceDE w:val="0"/>
        <w:autoSpaceDN w:val="0"/>
        <w:bidi w:val="0"/>
        <w:adjustRightInd w:val="0"/>
        <w:snapToGrid/>
        <w:spacing w:line="600" w:lineRule="exact"/>
        <w:ind w:left="220"/>
        <w:jc w:val="both"/>
        <w:textAlignment w:val="auto"/>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一、主要职责</w:t>
      </w:r>
    </w:p>
    <w:p w14:paraId="3F6F75E8">
      <w:pPr>
        <w:pageBreakBefore w:val="0"/>
        <w:tabs>
          <w:tab w:val="right" w:leader="dot" w:pos="8306"/>
        </w:tabs>
        <w:kinsoku/>
        <w:wordWrap/>
        <w:overflowPunct/>
        <w:topLinePunct w:val="0"/>
        <w:autoSpaceDE w:val="0"/>
        <w:autoSpaceDN w:val="0"/>
        <w:bidi w:val="0"/>
        <w:adjustRightInd w:val="0"/>
        <w:snapToGrid/>
        <w:spacing w:line="600" w:lineRule="exact"/>
        <w:ind w:left="220"/>
        <w:jc w:val="both"/>
        <w:textAlignment w:val="auto"/>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二、机构设置</w:t>
      </w:r>
    </w:p>
    <w:p w14:paraId="33817C5F">
      <w:pPr>
        <w:pageBreakBefore w:val="0"/>
        <w:tabs>
          <w:tab w:val="right" w:leader="dot" w:pos="8306"/>
        </w:tabs>
        <w:kinsoku/>
        <w:wordWrap/>
        <w:overflowPunct/>
        <w:topLinePunct w:val="0"/>
        <w:autoSpaceDE w:val="0"/>
        <w:autoSpaceDN w:val="0"/>
        <w:bidi w:val="0"/>
        <w:adjustRightInd w:val="0"/>
        <w:snapToGrid/>
        <w:spacing w:line="600" w:lineRule="exact"/>
        <w:jc w:val="both"/>
        <w:textAlignment w:val="auto"/>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第二部分  2023年度部门决算表</w:t>
      </w:r>
    </w:p>
    <w:p w14:paraId="46C6DA96">
      <w:pPr>
        <w:pageBreakBefore w:val="0"/>
        <w:tabs>
          <w:tab w:val="right" w:leader="dot" w:pos="8306"/>
        </w:tabs>
        <w:kinsoku/>
        <w:wordWrap/>
        <w:overflowPunct/>
        <w:topLinePunct w:val="0"/>
        <w:autoSpaceDE w:val="0"/>
        <w:autoSpaceDN w:val="0"/>
        <w:bidi w:val="0"/>
        <w:adjustRightInd w:val="0"/>
        <w:snapToGrid/>
        <w:spacing w:line="600" w:lineRule="exact"/>
        <w:ind w:left="220"/>
        <w:jc w:val="both"/>
        <w:textAlignment w:val="auto"/>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一、收入支出决算总表</w:t>
      </w:r>
    </w:p>
    <w:p w14:paraId="06558DDB">
      <w:pPr>
        <w:pageBreakBefore w:val="0"/>
        <w:tabs>
          <w:tab w:val="right" w:leader="dot" w:pos="8306"/>
        </w:tabs>
        <w:kinsoku/>
        <w:wordWrap/>
        <w:overflowPunct/>
        <w:topLinePunct w:val="0"/>
        <w:autoSpaceDE w:val="0"/>
        <w:autoSpaceDN w:val="0"/>
        <w:bidi w:val="0"/>
        <w:adjustRightInd w:val="0"/>
        <w:snapToGrid/>
        <w:spacing w:line="600" w:lineRule="exact"/>
        <w:ind w:left="220"/>
        <w:jc w:val="both"/>
        <w:textAlignment w:val="auto"/>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二、收入决算表（按功能分类列示）</w:t>
      </w:r>
    </w:p>
    <w:p w14:paraId="5465D6DC">
      <w:pPr>
        <w:pageBreakBefore w:val="0"/>
        <w:tabs>
          <w:tab w:val="right" w:leader="dot" w:pos="8306"/>
        </w:tabs>
        <w:kinsoku/>
        <w:wordWrap/>
        <w:overflowPunct/>
        <w:topLinePunct w:val="0"/>
        <w:autoSpaceDE w:val="0"/>
        <w:autoSpaceDN w:val="0"/>
        <w:bidi w:val="0"/>
        <w:adjustRightInd w:val="0"/>
        <w:snapToGrid/>
        <w:spacing w:line="600" w:lineRule="exact"/>
        <w:ind w:left="220"/>
        <w:jc w:val="both"/>
        <w:textAlignment w:val="auto"/>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三、收入决算表（按单位列示）</w:t>
      </w:r>
    </w:p>
    <w:p w14:paraId="084EE423">
      <w:pPr>
        <w:pageBreakBefore w:val="0"/>
        <w:tabs>
          <w:tab w:val="right" w:leader="dot" w:pos="8306"/>
        </w:tabs>
        <w:kinsoku/>
        <w:wordWrap/>
        <w:overflowPunct/>
        <w:topLinePunct w:val="0"/>
        <w:autoSpaceDE w:val="0"/>
        <w:autoSpaceDN w:val="0"/>
        <w:bidi w:val="0"/>
        <w:adjustRightInd w:val="0"/>
        <w:snapToGrid/>
        <w:spacing w:line="600" w:lineRule="exact"/>
        <w:ind w:left="220"/>
        <w:jc w:val="both"/>
        <w:textAlignment w:val="auto"/>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四、支出决算表</w:t>
      </w:r>
    </w:p>
    <w:p w14:paraId="2BA06979">
      <w:pPr>
        <w:pageBreakBefore w:val="0"/>
        <w:tabs>
          <w:tab w:val="right" w:leader="dot" w:pos="8306"/>
        </w:tabs>
        <w:kinsoku/>
        <w:wordWrap/>
        <w:overflowPunct/>
        <w:topLinePunct w:val="0"/>
        <w:autoSpaceDE w:val="0"/>
        <w:autoSpaceDN w:val="0"/>
        <w:bidi w:val="0"/>
        <w:adjustRightInd w:val="0"/>
        <w:snapToGrid/>
        <w:spacing w:line="600" w:lineRule="exact"/>
        <w:ind w:left="220"/>
        <w:jc w:val="both"/>
        <w:textAlignment w:val="auto"/>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五、财政拨款收入支出决算总表</w:t>
      </w:r>
    </w:p>
    <w:p w14:paraId="5274BF9B">
      <w:pPr>
        <w:pageBreakBefore w:val="0"/>
        <w:tabs>
          <w:tab w:val="right" w:leader="dot" w:pos="8306"/>
        </w:tabs>
        <w:kinsoku/>
        <w:wordWrap/>
        <w:overflowPunct/>
        <w:topLinePunct w:val="0"/>
        <w:autoSpaceDE w:val="0"/>
        <w:autoSpaceDN w:val="0"/>
        <w:bidi w:val="0"/>
        <w:adjustRightInd w:val="0"/>
        <w:snapToGrid/>
        <w:spacing w:line="600" w:lineRule="exact"/>
        <w:ind w:left="220"/>
        <w:jc w:val="both"/>
        <w:textAlignment w:val="auto"/>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六、一般公共预算财政拨款支出决算表</w:t>
      </w:r>
    </w:p>
    <w:p w14:paraId="219F8897">
      <w:pPr>
        <w:pageBreakBefore w:val="0"/>
        <w:tabs>
          <w:tab w:val="right" w:leader="dot" w:pos="8306"/>
        </w:tabs>
        <w:kinsoku/>
        <w:wordWrap/>
        <w:overflowPunct/>
        <w:topLinePunct w:val="0"/>
        <w:autoSpaceDE w:val="0"/>
        <w:autoSpaceDN w:val="0"/>
        <w:bidi w:val="0"/>
        <w:adjustRightInd w:val="0"/>
        <w:snapToGrid/>
        <w:spacing w:line="600" w:lineRule="exact"/>
        <w:ind w:left="220"/>
        <w:jc w:val="both"/>
        <w:textAlignment w:val="auto"/>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七、一般公共预算财政拨款基本支出决算表</w:t>
      </w:r>
    </w:p>
    <w:p w14:paraId="6067F382">
      <w:pPr>
        <w:pageBreakBefore w:val="0"/>
        <w:tabs>
          <w:tab w:val="right" w:leader="dot" w:pos="8306"/>
        </w:tabs>
        <w:kinsoku/>
        <w:wordWrap/>
        <w:overflowPunct/>
        <w:topLinePunct w:val="0"/>
        <w:autoSpaceDE w:val="0"/>
        <w:autoSpaceDN w:val="0"/>
        <w:bidi w:val="0"/>
        <w:adjustRightInd w:val="0"/>
        <w:snapToGrid/>
        <w:spacing w:line="600" w:lineRule="exact"/>
        <w:ind w:left="220"/>
        <w:jc w:val="both"/>
        <w:textAlignment w:val="auto"/>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八、政府性基金预算财政拨款收入支出决算表</w:t>
      </w:r>
    </w:p>
    <w:p w14:paraId="14AD5A8B">
      <w:pPr>
        <w:pageBreakBefore w:val="0"/>
        <w:tabs>
          <w:tab w:val="right" w:leader="dot" w:pos="8306"/>
        </w:tabs>
        <w:kinsoku/>
        <w:wordWrap/>
        <w:overflowPunct/>
        <w:topLinePunct w:val="0"/>
        <w:autoSpaceDE w:val="0"/>
        <w:autoSpaceDN w:val="0"/>
        <w:bidi w:val="0"/>
        <w:adjustRightInd w:val="0"/>
        <w:snapToGrid/>
        <w:spacing w:line="600" w:lineRule="exact"/>
        <w:ind w:left="220"/>
        <w:jc w:val="both"/>
        <w:textAlignment w:val="auto"/>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九、国有资本经营预算财政拨款收入支出决算表</w:t>
      </w:r>
    </w:p>
    <w:p w14:paraId="2D6F4457">
      <w:pPr>
        <w:pageBreakBefore w:val="0"/>
        <w:tabs>
          <w:tab w:val="right" w:leader="dot" w:pos="8306"/>
        </w:tabs>
        <w:kinsoku/>
        <w:wordWrap/>
        <w:overflowPunct/>
        <w:topLinePunct w:val="0"/>
        <w:autoSpaceDE w:val="0"/>
        <w:autoSpaceDN w:val="0"/>
        <w:bidi w:val="0"/>
        <w:adjustRightInd w:val="0"/>
        <w:snapToGrid/>
        <w:spacing w:line="600" w:lineRule="exact"/>
        <w:ind w:left="220"/>
        <w:jc w:val="both"/>
        <w:textAlignment w:val="auto"/>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十、财政拨款</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经费支出决算表</w:t>
      </w:r>
    </w:p>
    <w:p w14:paraId="6EDB320F">
      <w:pPr>
        <w:pageBreakBefore w:val="0"/>
        <w:tabs>
          <w:tab w:val="right" w:leader="dot" w:pos="8306"/>
        </w:tabs>
        <w:kinsoku/>
        <w:wordWrap/>
        <w:overflowPunct/>
        <w:topLinePunct w:val="0"/>
        <w:autoSpaceDE w:val="0"/>
        <w:autoSpaceDN w:val="0"/>
        <w:bidi w:val="0"/>
        <w:adjustRightInd w:val="0"/>
        <w:snapToGrid/>
        <w:spacing w:line="600" w:lineRule="exact"/>
        <w:ind w:left="220"/>
        <w:jc w:val="both"/>
        <w:textAlignment w:val="auto"/>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十一、项目支出决算表</w:t>
      </w:r>
    </w:p>
    <w:p w14:paraId="76F5B71C">
      <w:pPr>
        <w:pageBreakBefore w:val="0"/>
        <w:tabs>
          <w:tab w:val="right" w:leader="dot" w:pos="8306"/>
        </w:tabs>
        <w:kinsoku/>
        <w:wordWrap/>
        <w:overflowPunct/>
        <w:topLinePunct w:val="0"/>
        <w:autoSpaceDE w:val="0"/>
        <w:autoSpaceDN w:val="0"/>
        <w:bidi w:val="0"/>
        <w:adjustRightInd w:val="0"/>
        <w:snapToGrid/>
        <w:spacing w:line="600" w:lineRule="exact"/>
        <w:ind w:left="220"/>
        <w:jc w:val="both"/>
        <w:textAlignment w:val="auto"/>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十二、关于空表的说明</w:t>
      </w:r>
    </w:p>
    <w:p w14:paraId="6F4AAAAE">
      <w:pPr>
        <w:pageBreakBefore w:val="0"/>
        <w:tabs>
          <w:tab w:val="right" w:leader="dot" w:pos="8306"/>
        </w:tabs>
        <w:kinsoku/>
        <w:wordWrap/>
        <w:overflowPunct/>
        <w:topLinePunct w:val="0"/>
        <w:autoSpaceDE w:val="0"/>
        <w:autoSpaceDN w:val="0"/>
        <w:bidi w:val="0"/>
        <w:adjustRightInd w:val="0"/>
        <w:snapToGrid/>
        <w:spacing w:line="600" w:lineRule="exact"/>
        <w:jc w:val="both"/>
        <w:textAlignment w:val="auto"/>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第三部分  2023年度部门决算情况说明</w:t>
      </w:r>
    </w:p>
    <w:p w14:paraId="2D99048C">
      <w:pPr>
        <w:pageBreakBefore w:val="0"/>
        <w:tabs>
          <w:tab w:val="right" w:leader="dot" w:pos="8306"/>
        </w:tabs>
        <w:kinsoku/>
        <w:wordWrap/>
        <w:overflowPunct/>
        <w:topLinePunct w:val="0"/>
        <w:autoSpaceDE w:val="0"/>
        <w:autoSpaceDN w:val="0"/>
        <w:bidi w:val="0"/>
        <w:adjustRightInd w:val="0"/>
        <w:snapToGrid/>
        <w:spacing w:line="600" w:lineRule="exact"/>
        <w:ind w:left="220"/>
        <w:jc w:val="both"/>
        <w:textAlignment w:val="auto"/>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一、收支决算总体情况说明</w:t>
      </w:r>
    </w:p>
    <w:p w14:paraId="4067CA2D">
      <w:pPr>
        <w:pageBreakBefore w:val="0"/>
        <w:tabs>
          <w:tab w:val="right" w:leader="dot" w:pos="8306"/>
        </w:tabs>
        <w:kinsoku/>
        <w:wordWrap/>
        <w:overflowPunct/>
        <w:topLinePunct w:val="0"/>
        <w:autoSpaceDE w:val="0"/>
        <w:autoSpaceDN w:val="0"/>
        <w:bidi w:val="0"/>
        <w:adjustRightInd w:val="0"/>
        <w:snapToGrid/>
        <w:spacing w:line="600" w:lineRule="exact"/>
        <w:ind w:left="220"/>
        <w:jc w:val="both"/>
        <w:textAlignment w:val="auto"/>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二、收入决算情况说明</w:t>
      </w:r>
    </w:p>
    <w:p w14:paraId="75AE7956">
      <w:pPr>
        <w:pageBreakBefore w:val="0"/>
        <w:tabs>
          <w:tab w:val="right" w:leader="dot" w:pos="8306"/>
        </w:tabs>
        <w:kinsoku/>
        <w:wordWrap/>
        <w:overflowPunct/>
        <w:topLinePunct w:val="0"/>
        <w:autoSpaceDE w:val="0"/>
        <w:autoSpaceDN w:val="0"/>
        <w:bidi w:val="0"/>
        <w:adjustRightInd w:val="0"/>
        <w:snapToGrid/>
        <w:spacing w:line="600" w:lineRule="exact"/>
        <w:ind w:left="220"/>
        <w:jc w:val="both"/>
        <w:textAlignment w:val="auto"/>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三、支出决算情况说明</w:t>
      </w:r>
    </w:p>
    <w:p w14:paraId="5F12155C">
      <w:pPr>
        <w:pageBreakBefore w:val="0"/>
        <w:tabs>
          <w:tab w:val="right" w:leader="dot" w:pos="8306"/>
        </w:tabs>
        <w:kinsoku/>
        <w:wordWrap/>
        <w:overflowPunct/>
        <w:topLinePunct w:val="0"/>
        <w:autoSpaceDE w:val="0"/>
        <w:autoSpaceDN w:val="0"/>
        <w:bidi w:val="0"/>
        <w:adjustRightInd w:val="0"/>
        <w:snapToGrid/>
        <w:spacing w:line="600" w:lineRule="exact"/>
        <w:ind w:left="220"/>
        <w:jc w:val="both"/>
        <w:textAlignment w:val="auto"/>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四、财政拨款收支决算总体情况说明</w:t>
      </w:r>
    </w:p>
    <w:p w14:paraId="32166EEB">
      <w:pPr>
        <w:pageBreakBefore w:val="0"/>
        <w:tabs>
          <w:tab w:val="right" w:leader="dot" w:pos="8306"/>
        </w:tabs>
        <w:kinsoku/>
        <w:wordWrap/>
        <w:overflowPunct/>
        <w:topLinePunct w:val="0"/>
        <w:autoSpaceDE w:val="0"/>
        <w:autoSpaceDN w:val="0"/>
        <w:bidi w:val="0"/>
        <w:adjustRightInd w:val="0"/>
        <w:snapToGrid/>
        <w:spacing w:line="600" w:lineRule="exact"/>
        <w:ind w:left="220"/>
        <w:jc w:val="both"/>
        <w:textAlignment w:val="auto"/>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五、一般公共预算财政拨款支出决算情况说明</w:t>
      </w:r>
    </w:p>
    <w:p w14:paraId="1E81A504">
      <w:pPr>
        <w:pageBreakBefore w:val="0"/>
        <w:tabs>
          <w:tab w:val="right" w:leader="dot" w:pos="8306"/>
        </w:tabs>
        <w:kinsoku/>
        <w:wordWrap/>
        <w:overflowPunct/>
        <w:topLinePunct w:val="0"/>
        <w:autoSpaceDE w:val="0"/>
        <w:autoSpaceDN w:val="0"/>
        <w:bidi w:val="0"/>
        <w:adjustRightInd w:val="0"/>
        <w:snapToGrid/>
        <w:spacing w:line="600" w:lineRule="exact"/>
        <w:ind w:left="220"/>
        <w:jc w:val="both"/>
        <w:textAlignment w:val="auto"/>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六、一般公共预算财政拨款基本支出决算情况说明</w:t>
      </w:r>
    </w:p>
    <w:p w14:paraId="5FBC7BE2">
      <w:pPr>
        <w:pageBreakBefore w:val="0"/>
        <w:tabs>
          <w:tab w:val="right" w:leader="dot" w:pos="8306"/>
        </w:tabs>
        <w:kinsoku/>
        <w:wordWrap/>
        <w:overflowPunct/>
        <w:topLinePunct w:val="0"/>
        <w:autoSpaceDE w:val="0"/>
        <w:autoSpaceDN w:val="0"/>
        <w:bidi w:val="0"/>
        <w:adjustRightInd w:val="0"/>
        <w:snapToGrid/>
        <w:spacing w:line="600" w:lineRule="exact"/>
        <w:ind w:left="220"/>
        <w:jc w:val="both"/>
        <w:textAlignment w:val="auto"/>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七、政府性基金预算财政拨款收支决算情况说明</w:t>
      </w:r>
    </w:p>
    <w:p w14:paraId="6F304649">
      <w:pPr>
        <w:pageBreakBefore w:val="0"/>
        <w:tabs>
          <w:tab w:val="right" w:leader="dot" w:pos="8306"/>
        </w:tabs>
        <w:kinsoku/>
        <w:wordWrap/>
        <w:overflowPunct/>
        <w:topLinePunct w:val="0"/>
        <w:autoSpaceDE w:val="0"/>
        <w:autoSpaceDN w:val="0"/>
        <w:bidi w:val="0"/>
        <w:adjustRightInd w:val="0"/>
        <w:snapToGrid/>
        <w:spacing w:line="600" w:lineRule="exact"/>
        <w:ind w:left="220"/>
        <w:jc w:val="both"/>
        <w:textAlignment w:val="auto"/>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八、国有资本经营预算财政拨款收支决算情况说明</w:t>
      </w:r>
    </w:p>
    <w:p w14:paraId="459D53F7">
      <w:pPr>
        <w:pageBreakBefore w:val="0"/>
        <w:tabs>
          <w:tab w:val="right" w:leader="dot" w:pos="8306"/>
        </w:tabs>
        <w:kinsoku/>
        <w:wordWrap/>
        <w:overflowPunct/>
        <w:topLinePunct w:val="0"/>
        <w:autoSpaceDE w:val="0"/>
        <w:autoSpaceDN w:val="0"/>
        <w:bidi w:val="0"/>
        <w:adjustRightInd w:val="0"/>
        <w:snapToGrid/>
        <w:spacing w:line="600" w:lineRule="exact"/>
        <w:ind w:left="220"/>
        <w:jc w:val="both"/>
        <w:textAlignment w:val="auto"/>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九、财政拨款</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经费支出决算情况说明</w:t>
      </w:r>
    </w:p>
    <w:p w14:paraId="04EF9FA8">
      <w:pPr>
        <w:pageBreakBefore w:val="0"/>
        <w:tabs>
          <w:tab w:val="right" w:leader="dot" w:pos="8306"/>
        </w:tabs>
        <w:kinsoku/>
        <w:wordWrap/>
        <w:overflowPunct/>
        <w:topLinePunct w:val="0"/>
        <w:autoSpaceDE w:val="0"/>
        <w:autoSpaceDN w:val="0"/>
        <w:bidi w:val="0"/>
        <w:adjustRightInd w:val="0"/>
        <w:snapToGrid/>
        <w:spacing w:line="600" w:lineRule="exact"/>
        <w:ind w:left="220"/>
        <w:jc w:val="both"/>
        <w:textAlignment w:val="auto"/>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十、机关运行经费支出情况说明</w:t>
      </w:r>
    </w:p>
    <w:p w14:paraId="5B7313DE">
      <w:pPr>
        <w:pageBreakBefore w:val="0"/>
        <w:tabs>
          <w:tab w:val="right" w:leader="dot" w:pos="8306"/>
        </w:tabs>
        <w:kinsoku/>
        <w:wordWrap/>
        <w:overflowPunct/>
        <w:topLinePunct w:val="0"/>
        <w:autoSpaceDE w:val="0"/>
        <w:autoSpaceDN w:val="0"/>
        <w:bidi w:val="0"/>
        <w:adjustRightInd w:val="0"/>
        <w:snapToGrid/>
        <w:spacing w:line="600" w:lineRule="exact"/>
        <w:ind w:left="220"/>
        <w:jc w:val="both"/>
        <w:textAlignment w:val="auto"/>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十一、政府采购支出情况说明</w:t>
      </w:r>
    </w:p>
    <w:p w14:paraId="39D4C862">
      <w:pPr>
        <w:pageBreakBefore w:val="0"/>
        <w:tabs>
          <w:tab w:val="right" w:leader="dot" w:pos="8306"/>
        </w:tabs>
        <w:kinsoku/>
        <w:wordWrap/>
        <w:overflowPunct/>
        <w:topLinePunct w:val="0"/>
        <w:autoSpaceDE w:val="0"/>
        <w:autoSpaceDN w:val="0"/>
        <w:bidi w:val="0"/>
        <w:adjustRightInd w:val="0"/>
        <w:snapToGrid/>
        <w:spacing w:line="600" w:lineRule="exact"/>
        <w:ind w:left="220"/>
        <w:jc w:val="both"/>
        <w:textAlignment w:val="auto"/>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十二、国有资产占有使用情况说明</w:t>
      </w:r>
    </w:p>
    <w:p w14:paraId="252DFB07">
      <w:pPr>
        <w:pageBreakBefore w:val="0"/>
        <w:tabs>
          <w:tab w:val="right" w:leader="dot" w:pos="8306"/>
        </w:tabs>
        <w:kinsoku/>
        <w:wordWrap/>
        <w:overflowPunct/>
        <w:topLinePunct w:val="0"/>
        <w:autoSpaceDE w:val="0"/>
        <w:autoSpaceDN w:val="0"/>
        <w:bidi w:val="0"/>
        <w:adjustRightInd w:val="0"/>
        <w:snapToGrid/>
        <w:spacing w:line="600" w:lineRule="exact"/>
        <w:ind w:left="220"/>
        <w:jc w:val="both"/>
        <w:textAlignment w:val="auto"/>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十三、预算绩效情况说明</w:t>
      </w:r>
    </w:p>
    <w:p w14:paraId="53C42188">
      <w:pPr>
        <w:pageBreakBefore w:val="0"/>
        <w:tabs>
          <w:tab w:val="right" w:leader="dot" w:pos="8306"/>
        </w:tabs>
        <w:kinsoku/>
        <w:wordWrap/>
        <w:overflowPunct/>
        <w:topLinePunct w:val="0"/>
        <w:autoSpaceDE w:val="0"/>
        <w:autoSpaceDN w:val="0"/>
        <w:bidi w:val="0"/>
        <w:adjustRightInd w:val="0"/>
        <w:snapToGrid/>
        <w:spacing w:line="600" w:lineRule="exact"/>
        <w:ind w:left="220"/>
        <w:jc w:val="both"/>
        <w:textAlignment w:val="auto"/>
        <w:rPr>
          <w:rFonts w:ascii="Times New Roman" w:hAnsi="Times New Roman" w:eastAsia="仿宋_GB2312" w:cs="Times New Roman"/>
          <w:kern w:val="0"/>
          <w:sz w:val="30"/>
          <w:szCs w:val="30"/>
          <w:lang w:val="en"/>
        </w:rPr>
      </w:pPr>
      <w:r>
        <w:rPr>
          <w:rFonts w:hint="eastAsia" w:ascii="Times New Roman" w:hAnsi="Times New Roman" w:eastAsia="仿宋_GB2312" w:cs="仿宋_GB2312"/>
          <w:kern w:val="0"/>
          <w:sz w:val="30"/>
          <w:szCs w:val="30"/>
        </w:rPr>
        <w:t>十四、教育、医疗卫生、社会保障和就业、住房保障、涉农补贴等民生支出情况说明</w:t>
      </w:r>
    </w:p>
    <w:p w14:paraId="4948375D">
      <w:pPr>
        <w:pageBreakBefore w:val="0"/>
        <w:tabs>
          <w:tab w:val="right" w:leader="dot" w:pos="8306"/>
        </w:tabs>
        <w:kinsoku/>
        <w:wordWrap/>
        <w:overflowPunct/>
        <w:topLinePunct w:val="0"/>
        <w:autoSpaceDE w:val="0"/>
        <w:autoSpaceDN w:val="0"/>
        <w:bidi w:val="0"/>
        <w:adjustRightInd w:val="0"/>
        <w:snapToGrid/>
        <w:spacing w:line="600" w:lineRule="exact"/>
        <w:jc w:val="both"/>
        <w:textAlignment w:val="auto"/>
        <w:rPr>
          <w:rFonts w:ascii="Times New Roman" w:hAnsi="Times New Roman" w:eastAsia="方正小标宋简体" w:cs="Times New Roman"/>
          <w:kern w:val="0"/>
          <w:sz w:val="30"/>
          <w:szCs w:val="30"/>
          <w:lang w:val="en"/>
        </w:rPr>
      </w:pPr>
      <w:r>
        <w:rPr>
          <w:rFonts w:hint="eastAsia" w:ascii="Times New Roman" w:hAnsi="Times New Roman" w:eastAsia="方正小标宋简体" w:cs="方正小标宋简体"/>
          <w:kern w:val="0"/>
          <w:sz w:val="30"/>
          <w:szCs w:val="30"/>
          <w:lang w:val="en"/>
        </w:rPr>
        <w:t>第四部分</w:t>
      </w:r>
      <w:r>
        <w:rPr>
          <w:rFonts w:hint="eastAsia" w:ascii="Times New Roman" w:hAnsi="Times New Roman" w:eastAsia="方正小标宋简体" w:cs="方正小标宋简体"/>
          <w:kern w:val="0"/>
          <w:sz w:val="30"/>
          <w:szCs w:val="30"/>
        </w:rPr>
        <w:t xml:space="preserve">  </w:t>
      </w:r>
      <w:r>
        <w:rPr>
          <w:rFonts w:hint="eastAsia" w:ascii="Times New Roman" w:hAnsi="Times New Roman" w:eastAsia="方正小标宋简体" w:cs="方正小标宋简体"/>
          <w:kern w:val="0"/>
          <w:sz w:val="30"/>
          <w:szCs w:val="30"/>
          <w:lang w:val="en"/>
        </w:rPr>
        <w:t>名词解释</w:t>
      </w:r>
    </w:p>
    <w:p w14:paraId="074F4002">
      <w:pPr>
        <w:pageBreakBefore w:val="0"/>
        <w:kinsoku/>
        <w:wordWrap/>
        <w:overflowPunct/>
        <w:topLinePunct w:val="0"/>
        <w:autoSpaceDE w:val="0"/>
        <w:autoSpaceDN w:val="0"/>
        <w:bidi w:val="0"/>
        <w:adjustRightInd w:val="0"/>
        <w:snapToGrid/>
        <w:spacing w:line="600" w:lineRule="exact"/>
        <w:jc w:val="both"/>
        <w:textAlignment w:val="auto"/>
        <w:rPr>
          <w:rFonts w:ascii="Times New Roman" w:hAnsi="Times New Roman" w:eastAsia="黑体" w:cs="黑体"/>
          <w:sz w:val="30"/>
          <w:szCs w:val="30"/>
          <w:lang w:val="zh-CN"/>
        </w:rPr>
      </w:pPr>
      <w:r>
        <w:rPr>
          <w:rFonts w:ascii="Times New Roman" w:hAnsi="Times New Roman" w:eastAsia="黑体" w:cs="黑体"/>
          <w:sz w:val="30"/>
          <w:szCs w:val="30"/>
          <w:lang w:val="zh-CN"/>
        </w:rPr>
        <w:br w:type="page"/>
      </w:r>
    </w:p>
    <w:p w14:paraId="4AAB1811">
      <w:pPr>
        <w:pageBreakBefore w:val="0"/>
        <w:kinsoku/>
        <w:wordWrap/>
        <w:overflowPunct/>
        <w:topLinePunct w:val="0"/>
        <w:autoSpaceDE w:val="0"/>
        <w:autoSpaceDN w:val="0"/>
        <w:bidi w:val="0"/>
        <w:adjustRightInd w:val="0"/>
        <w:snapToGrid/>
        <w:spacing w:line="600" w:lineRule="exact"/>
        <w:jc w:val="both"/>
        <w:textAlignment w:val="auto"/>
        <w:rPr>
          <w:rFonts w:ascii="Times New Roman" w:hAnsi="Times New Roman" w:eastAsia="黑体" w:cs="黑体"/>
          <w:sz w:val="30"/>
          <w:szCs w:val="30"/>
          <w:lang w:val="zh-CN"/>
        </w:rPr>
      </w:pPr>
    </w:p>
    <w:p w14:paraId="60FE69B4">
      <w:pPr>
        <w:pageBreakBefore w:val="0"/>
        <w:kinsoku/>
        <w:wordWrap/>
        <w:overflowPunct/>
        <w:topLinePunct w:val="0"/>
        <w:autoSpaceDE w:val="0"/>
        <w:autoSpaceDN w:val="0"/>
        <w:bidi w:val="0"/>
        <w:adjustRightInd w:val="0"/>
        <w:snapToGrid/>
        <w:spacing w:line="600" w:lineRule="exact"/>
        <w:jc w:val="both"/>
        <w:textAlignment w:val="auto"/>
        <w:rPr>
          <w:rFonts w:ascii="Times New Roman" w:hAnsi="Times New Roman" w:eastAsia="黑体" w:cs="黑体"/>
          <w:sz w:val="30"/>
          <w:szCs w:val="30"/>
          <w:lang w:val="zh-CN"/>
        </w:rPr>
      </w:pPr>
    </w:p>
    <w:p w14:paraId="7CB3F854">
      <w:pPr>
        <w:pageBreakBefore w:val="0"/>
        <w:kinsoku/>
        <w:wordWrap/>
        <w:overflowPunct/>
        <w:topLinePunct w:val="0"/>
        <w:autoSpaceDE w:val="0"/>
        <w:autoSpaceDN w:val="0"/>
        <w:bidi w:val="0"/>
        <w:adjustRightInd w:val="0"/>
        <w:snapToGrid/>
        <w:spacing w:line="600" w:lineRule="exact"/>
        <w:jc w:val="both"/>
        <w:textAlignment w:val="auto"/>
        <w:rPr>
          <w:rFonts w:ascii="Times New Roman" w:hAnsi="Times New Roman" w:eastAsia="黑体" w:cs="黑体"/>
          <w:sz w:val="30"/>
          <w:szCs w:val="30"/>
          <w:lang w:val="zh-CN"/>
        </w:rPr>
      </w:pPr>
    </w:p>
    <w:p w14:paraId="3BFE2ECC">
      <w:pPr>
        <w:pageBreakBefore w:val="0"/>
        <w:kinsoku/>
        <w:wordWrap/>
        <w:overflowPunct/>
        <w:topLinePunct w:val="0"/>
        <w:autoSpaceDE w:val="0"/>
        <w:autoSpaceDN w:val="0"/>
        <w:bidi w:val="0"/>
        <w:adjustRightInd w:val="0"/>
        <w:snapToGrid/>
        <w:spacing w:line="600" w:lineRule="exact"/>
        <w:jc w:val="both"/>
        <w:textAlignment w:val="auto"/>
        <w:rPr>
          <w:rFonts w:ascii="Times New Roman" w:hAnsi="Times New Roman" w:eastAsia="黑体" w:cs="黑体"/>
          <w:sz w:val="30"/>
          <w:szCs w:val="30"/>
          <w:lang w:val="zh-CN"/>
        </w:rPr>
      </w:pPr>
    </w:p>
    <w:p w14:paraId="252A346F">
      <w:pPr>
        <w:pageBreakBefore w:val="0"/>
        <w:kinsoku/>
        <w:wordWrap/>
        <w:overflowPunct/>
        <w:topLinePunct w:val="0"/>
        <w:autoSpaceDE w:val="0"/>
        <w:autoSpaceDN w:val="0"/>
        <w:bidi w:val="0"/>
        <w:adjustRightInd w:val="0"/>
        <w:snapToGrid/>
        <w:spacing w:line="600" w:lineRule="exact"/>
        <w:jc w:val="both"/>
        <w:textAlignment w:val="auto"/>
        <w:rPr>
          <w:rFonts w:ascii="Times New Roman" w:hAnsi="Times New Roman" w:eastAsia="黑体" w:cs="黑体"/>
          <w:sz w:val="30"/>
          <w:szCs w:val="30"/>
          <w:lang w:val="zh-CN"/>
        </w:rPr>
      </w:pPr>
    </w:p>
    <w:p w14:paraId="65C17C95">
      <w:pPr>
        <w:pageBreakBefore w:val="0"/>
        <w:kinsoku/>
        <w:wordWrap/>
        <w:overflowPunct/>
        <w:topLinePunct w:val="0"/>
        <w:autoSpaceDE w:val="0"/>
        <w:autoSpaceDN w:val="0"/>
        <w:bidi w:val="0"/>
        <w:adjustRightInd w:val="0"/>
        <w:snapToGrid/>
        <w:spacing w:line="600" w:lineRule="exact"/>
        <w:jc w:val="both"/>
        <w:textAlignment w:val="auto"/>
        <w:rPr>
          <w:rFonts w:ascii="Times New Roman" w:hAnsi="Times New Roman" w:eastAsia="黑体" w:cs="黑体"/>
          <w:sz w:val="30"/>
          <w:szCs w:val="30"/>
          <w:lang w:val="zh-CN"/>
        </w:rPr>
      </w:pPr>
    </w:p>
    <w:p w14:paraId="14DCCF07">
      <w:pPr>
        <w:pageBreakBefore w:val="0"/>
        <w:kinsoku/>
        <w:wordWrap/>
        <w:overflowPunct/>
        <w:topLinePunct w:val="0"/>
        <w:autoSpaceDE w:val="0"/>
        <w:autoSpaceDN w:val="0"/>
        <w:bidi w:val="0"/>
        <w:adjustRightInd w:val="0"/>
        <w:snapToGrid/>
        <w:spacing w:line="600" w:lineRule="exact"/>
        <w:jc w:val="both"/>
        <w:textAlignment w:val="auto"/>
        <w:rPr>
          <w:rFonts w:ascii="Times New Roman" w:hAnsi="Times New Roman" w:eastAsia="黑体" w:cs="黑体"/>
          <w:sz w:val="30"/>
          <w:szCs w:val="30"/>
          <w:lang w:val="zh-CN"/>
        </w:rPr>
      </w:pPr>
    </w:p>
    <w:p w14:paraId="092F433F">
      <w:pPr>
        <w:pageBreakBefore w:val="0"/>
        <w:kinsoku/>
        <w:wordWrap/>
        <w:overflowPunct/>
        <w:topLinePunct w:val="0"/>
        <w:autoSpaceDE w:val="0"/>
        <w:autoSpaceDN w:val="0"/>
        <w:bidi w:val="0"/>
        <w:adjustRightInd w:val="0"/>
        <w:snapToGrid/>
        <w:spacing w:line="600" w:lineRule="exact"/>
        <w:jc w:val="both"/>
        <w:textAlignment w:val="auto"/>
        <w:rPr>
          <w:rFonts w:ascii="Times New Roman" w:hAnsi="Times New Roman" w:eastAsia="黑体" w:cs="黑体"/>
          <w:sz w:val="30"/>
          <w:szCs w:val="30"/>
          <w:lang w:val="zh-CN"/>
        </w:rPr>
      </w:pPr>
    </w:p>
    <w:p w14:paraId="46B46340">
      <w:pPr>
        <w:keepNext/>
        <w:keepLines/>
        <w:pageBreakBefore w:val="0"/>
        <w:kinsoku/>
        <w:wordWrap/>
        <w:overflowPunct/>
        <w:topLinePunct w:val="0"/>
        <w:autoSpaceDE w:val="0"/>
        <w:autoSpaceDN w:val="0"/>
        <w:bidi w:val="0"/>
        <w:adjustRightInd w:val="0"/>
        <w:snapToGrid/>
        <w:spacing w:line="600" w:lineRule="exact"/>
        <w:jc w:val="center"/>
        <w:textAlignment w:val="auto"/>
        <w:outlineLvl w:val="0"/>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第一部分  概 况</w:t>
      </w:r>
    </w:p>
    <w:p w14:paraId="2B23CD2F">
      <w:pPr>
        <w:pageBreakBefore w:val="0"/>
        <w:widowControl/>
        <w:kinsoku/>
        <w:wordWrap/>
        <w:overflowPunct/>
        <w:topLinePunct w:val="0"/>
        <w:bidi w:val="0"/>
        <w:snapToGrid/>
        <w:spacing w:line="600" w:lineRule="exact"/>
        <w:jc w:val="both"/>
        <w:textAlignment w:val="auto"/>
        <w:rPr>
          <w:rFonts w:ascii="Times New Roman" w:hAnsi="Times New Roman" w:eastAsia="方正小标宋简体" w:cs="Times New Roman"/>
          <w:kern w:val="0"/>
          <w:sz w:val="24"/>
          <w:szCs w:val="24"/>
        </w:rPr>
      </w:pPr>
      <w:r>
        <w:rPr>
          <w:rFonts w:ascii="Times New Roman" w:hAnsi="Times New Roman" w:eastAsia="方正小标宋简体" w:cs="Times New Roman"/>
          <w:kern w:val="0"/>
          <w:sz w:val="24"/>
          <w:szCs w:val="24"/>
        </w:rPr>
        <w:br w:type="page"/>
      </w:r>
      <w:bookmarkStart w:id="0" w:name="_GoBack"/>
      <w:bookmarkEnd w:id="0"/>
    </w:p>
    <w:p w14:paraId="16D15003">
      <w:pPr>
        <w:keepNext/>
        <w:keepLines/>
        <w:pageBreakBefore w:val="0"/>
        <w:kinsoku/>
        <w:wordWrap/>
        <w:overflowPunct/>
        <w:topLinePunct w:val="0"/>
        <w:autoSpaceDE w:val="0"/>
        <w:autoSpaceDN w:val="0"/>
        <w:bidi w:val="0"/>
        <w:adjustRightInd w:val="0"/>
        <w:snapToGrid/>
        <w:spacing w:line="600" w:lineRule="exact"/>
        <w:ind w:firstLine="600" w:firstLineChars="200"/>
        <w:jc w:val="both"/>
        <w:textAlignment w:val="auto"/>
        <w:outlineLvl w:val="1"/>
        <w:rPr>
          <w:rFonts w:ascii="Times New Roman" w:hAnsi="Times New Roman" w:eastAsia="仿宋_GB2312" w:cs="仿宋_GB2312"/>
          <w:kern w:val="0"/>
          <w:sz w:val="30"/>
          <w:szCs w:val="30"/>
        </w:rPr>
      </w:pPr>
      <w:r>
        <w:rPr>
          <w:rFonts w:hint="eastAsia" w:ascii="Times New Roman" w:hAnsi="Times New Roman" w:eastAsia="黑体" w:cs="黑体"/>
          <w:kern w:val="0"/>
          <w:sz w:val="30"/>
          <w:szCs w:val="30"/>
        </w:rPr>
        <w:t>一、主要职责</w:t>
      </w:r>
    </w:p>
    <w:p w14:paraId="1B70062C">
      <w:pPr>
        <w:pageBreakBefore w:val="0"/>
        <w:kinsoku/>
        <w:wordWrap/>
        <w:overflowPunct/>
        <w:topLinePunct w:val="0"/>
        <w:bidi w:val="0"/>
        <w:snapToGrid/>
        <w:spacing w:line="600" w:lineRule="exact"/>
        <w:ind w:firstLine="600" w:firstLineChars="200"/>
        <w:jc w:val="both"/>
        <w:textAlignment w:val="auto"/>
        <w:rPr>
          <w:rFonts w:hint="eastAsia"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中国国际贸易促进委员会天津市分会是天津市委领导的群团组织和市政府领导同志联系的贸易投资促进机构，是市委、市政府联系经贸界人士、企业、团体的重要纽带，是境内外工商界开展经贸交流合作的重要桥梁，是促进开放型经济发展和服务全市对外工作大局的重要力量。主要职责是：</w:t>
      </w:r>
    </w:p>
    <w:p w14:paraId="506066B6">
      <w:pPr>
        <w:pageBreakBefore w:val="0"/>
        <w:kinsoku/>
        <w:wordWrap/>
        <w:overflowPunct/>
        <w:topLinePunct w:val="0"/>
        <w:bidi w:val="0"/>
        <w:snapToGrid/>
        <w:spacing w:line="600" w:lineRule="exact"/>
        <w:ind w:firstLine="600" w:firstLineChars="200"/>
        <w:jc w:val="both"/>
        <w:textAlignment w:val="auto"/>
        <w:rPr>
          <w:rFonts w:hint="eastAsia"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1.促进天津对外经贸活动、进出口贸易和双向投资、中外经济技术交流与合作，开展同世界各国的经贸交往。</w:t>
      </w:r>
    </w:p>
    <w:p w14:paraId="75139C0B">
      <w:pPr>
        <w:pageBreakBefore w:val="0"/>
        <w:kinsoku/>
        <w:wordWrap/>
        <w:overflowPunct/>
        <w:topLinePunct w:val="0"/>
        <w:bidi w:val="0"/>
        <w:snapToGrid/>
        <w:spacing w:line="600" w:lineRule="exact"/>
        <w:ind w:firstLine="600" w:firstLineChars="200"/>
        <w:jc w:val="both"/>
        <w:textAlignment w:val="auto"/>
        <w:rPr>
          <w:rFonts w:hint="eastAsia"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2.围绕重大国家战略，搭建对外经贸合作平台，扩大天津与境内外工商界经贸交流。</w:t>
      </w:r>
    </w:p>
    <w:p w14:paraId="75A58A0A">
      <w:pPr>
        <w:pageBreakBefore w:val="0"/>
        <w:kinsoku/>
        <w:wordWrap/>
        <w:overflowPunct/>
        <w:topLinePunct w:val="0"/>
        <w:bidi w:val="0"/>
        <w:snapToGrid/>
        <w:spacing w:line="600" w:lineRule="exact"/>
        <w:ind w:firstLine="600" w:firstLineChars="200"/>
        <w:jc w:val="both"/>
        <w:textAlignment w:val="auto"/>
        <w:rPr>
          <w:rFonts w:hint="eastAsia"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3.组织天津市经贸代表团出国访问与考察，邀请和接待境外经贸代表团来访；组织、参加或与外国相应机构联合召开有关经济贸易技术合作和商事法律方面的国际会议及活动。</w:t>
      </w:r>
    </w:p>
    <w:p w14:paraId="7CC7D771">
      <w:pPr>
        <w:pageBreakBefore w:val="0"/>
        <w:kinsoku/>
        <w:wordWrap/>
        <w:overflowPunct/>
        <w:topLinePunct w:val="0"/>
        <w:bidi w:val="0"/>
        <w:snapToGrid/>
        <w:spacing w:line="600" w:lineRule="exact"/>
        <w:ind w:firstLine="600" w:firstLineChars="200"/>
        <w:jc w:val="both"/>
        <w:textAlignment w:val="auto"/>
        <w:rPr>
          <w:rFonts w:hint="eastAsia"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4.与各国工商组织在津设立的代表机构以及各国在津成立的商会进行联络；协助实施促进天津与香港、澳门特别行政区及台湾地区的经贸交流。</w:t>
      </w:r>
    </w:p>
    <w:p w14:paraId="4EC18626">
      <w:pPr>
        <w:pageBreakBefore w:val="0"/>
        <w:kinsoku/>
        <w:wordWrap/>
        <w:overflowPunct/>
        <w:topLinePunct w:val="0"/>
        <w:bidi w:val="0"/>
        <w:snapToGrid/>
        <w:spacing w:line="600" w:lineRule="exact"/>
        <w:ind w:firstLine="600" w:firstLineChars="200"/>
        <w:jc w:val="both"/>
        <w:textAlignment w:val="auto"/>
        <w:rPr>
          <w:rFonts w:hint="eastAsia"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5.在国（境）外主办或承办天津经济贸易展览会或技术交流会，组织参加世界博览会和国际经济贸易展览会，在天津主办有关国际经贸展览会、博览会和技术交流会。</w:t>
      </w:r>
    </w:p>
    <w:p w14:paraId="19A6CAD2">
      <w:pPr>
        <w:pageBreakBefore w:val="0"/>
        <w:kinsoku/>
        <w:wordWrap/>
        <w:overflowPunct/>
        <w:topLinePunct w:val="0"/>
        <w:bidi w:val="0"/>
        <w:snapToGrid/>
        <w:spacing w:line="600" w:lineRule="exact"/>
        <w:ind w:firstLine="600" w:firstLineChars="200"/>
        <w:jc w:val="both"/>
        <w:textAlignment w:val="auto"/>
        <w:rPr>
          <w:rFonts w:hint="eastAsia"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6.跟踪分析国内外经贸动态，开展相关研究，宣介有关经贸政策，发挥在外经贸领域代言工商的作用，向政府有关部门提供咨询服务，反映情况和意见。</w:t>
      </w:r>
    </w:p>
    <w:p w14:paraId="504C7DB2">
      <w:pPr>
        <w:pageBreakBefore w:val="0"/>
        <w:kinsoku/>
        <w:wordWrap/>
        <w:overflowPunct/>
        <w:topLinePunct w:val="0"/>
        <w:bidi w:val="0"/>
        <w:snapToGrid/>
        <w:spacing w:line="600" w:lineRule="exact"/>
        <w:ind w:firstLine="600" w:firstLineChars="200"/>
        <w:jc w:val="both"/>
        <w:textAlignment w:val="auto"/>
        <w:rPr>
          <w:rFonts w:hint="eastAsia"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7.向国内外有关企业和机构提供经贸信息、咨询和资信调查等各类服务；编辑、出版经贸类刊物、电子出版物及其他出版物。</w:t>
      </w:r>
    </w:p>
    <w:p w14:paraId="55715D1D">
      <w:pPr>
        <w:pageBreakBefore w:val="0"/>
        <w:kinsoku/>
        <w:wordWrap/>
        <w:overflowPunct/>
        <w:topLinePunct w:val="0"/>
        <w:bidi w:val="0"/>
        <w:snapToGrid/>
        <w:spacing w:line="600" w:lineRule="exact"/>
        <w:ind w:firstLine="600" w:firstLineChars="200"/>
        <w:jc w:val="both"/>
        <w:textAlignment w:val="auto"/>
        <w:rPr>
          <w:rFonts w:hint="eastAsia"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8.出具中国出口商品原产地证明书、涉外经贸文件证明书，代办领事认证；组织开展国际经贸摩擦应对，调解有关商事、海事争议，开展相关法律事务的国际交流活动，助力推动优化天津营商环境。</w:t>
      </w:r>
    </w:p>
    <w:p w14:paraId="352D651B">
      <w:pPr>
        <w:pageBreakBefore w:val="0"/>
        <w:kinsoku/>
        <w:wordWrap/>
        <w:overflowPunct/>
        <w:topLinePunct w:val="0"/>
        <w:bidi w:val="0"/>
        <w:snapToGrid/>
        <w:spacing w:line="600" w:lineRule="exact"/>
        <w:ind w:firstLine="600" w:firstLineChars="200"/>
        <w:jc w:val="both"/>
        <w:textAlignment w:val="auto"/>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9.代理天津企业在国外或外国公司和个人在天津办理专利申请和商标注册工作，办理知识产权的咨询、争议等法律服务及技术贸易等工作。</w:t>
      </w:r>
    </w:p>
    <w:p w14:paraId="2CF1C470">
      <w:pPr>
        <w:keepNext/>
        <w:keepLines/>
        <w:pageBreakBefore w:val="0"/>
        <w:kinsoku/>
        <w:wordWrap/>
        <w:overflowPunct/>
        <w:topLinePunct w:val="0"/>
        <w:autoSpaceDE w:val="0"/>
        <w:autoSpaceDN w:val="0"/>
        <w:bidi w:val="0"/>
        <w:adjustRightInd w:val="0"/>
        <w:snapToGrid/>
        <w:spacing w:line="600" w:lineRule="exact"/>
        <w:ind w:firstLine="600"/>
        <w:jc w:val="both"/>
        <w:textAlignment w:val="auto"/>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二、机构设置</w:t>
      </w:r>
    </w:p>
    <w:p w14:paraId="1526B535">
      <w:pPr>
        <w:keepNext/>
        <w:keepLines/>
        <w:pageBreakBefore w:val="0"/>
        <w:kinsoku/>
        <w:wordWrap/>
        <w:overflowPunct/>
        <w:topLinePunct w:val="0"/>
        <w:autoSpaceDE w:val="0"/>
        <w:autoSpaceDN w:val="0"/>
        <w:bidi w:val="0"/>
        <w:adjustRightInd w:val="0"/>
        <w:snapToGrid/>
        <w:spacing w:line="600" w:lineRule="exact"/>
        <w:ind w:firstLine="600"/>
        <w:jc w:val="both"/>
        <w:textAlignment w:val="auto"/>
        <w:outlineLvl w:val="1"/>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中国国际贸易促进委员会天津市分会内设7个职能处室；下辖1个预算单位。纳入中国国际贸易促进委员会天津市分会2023年度部门决算编制范围的单位包括：</w:t>
      </w:r>
    </w:p>
    <w:p w14:paraId="38561779">
      <w:pPr>
        <w:keepNext/>
        <w:keepLines/>
        <w:pageBreakBefore w:val="0"/>
        <w:kinsoku/>
        <w:wordWrap/>
        <w:overflowPunct/>
        <w:topLinePunct w:val="0"/>
        <w:autoSpaceDE w:val="0"/>
        <w:autoSpaceDN w:val="0"/>
        <w:bidi w:val="0"/>
        <w:adjustRightInd w:val="0"/>
        <w:snapToGrid/>
        <w:spacing w:line="600" w:lineRule="exact"/>
        <w:ind w:firstLine="600"/>
        <w:jc w:val="both"/>
        <w:textAlignment w:val="auto"/>
        <w:outlineLvl w:val="1"/>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1.中国国际贸易促进委员会天津市分会本级。</w:t>
      </w:r>
    </w:p>
    <w:p w14:paraId="572FC4BD">
      <w:pPr>
        <w:keepNext/>
        <w:keepLines/>
        <w:pageBreakBefore w:val="0"/>
        <w:kinsoku/>
        <w:wordWrap/>
        <w:overflowPunct/>
        <w:topLinePunct w:val="0"/>
        <w:autoSpaceDE w:val="0"/>
        <w:autoSpaceDN w:val="0"/>
        <w:bidi w:val="0"/>
        <w:adjustRightInd w:val="0"/>
        <w:snapToGrid/>
        <w:spacing w:line="600" w:lineRule="exact"/>
        <w:ind w:firstLine="600"/>
        <w:jc w:val="both"/>
        <w:textAlignment w:val="auto"/>
        <w:outlineLvl w:val="1"/>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2.中国国际贸易促进委员会天津市分会（中国国际商会天津商会）商事法律服务中心。</w:t>
      </w:r>
    </w:p>
    <w:p w14:paraId="08252D1E">
      <w:pPr>
        <w:pageBreakBefore w:val="0"/>
        <w:kinsoku/>
        <w:wordWrap/>
        <w:overflowPunct/>
        <w:topLinePunct w:val="0"/>
        <w:bidi w:val="0"/>
        <w:snapToGrid/>
        <w:spacing w:line="600" w:lineRule="exact"/>
        <w:jc w:val="both"/>
        <w:textAlignment w:val="auto"/>
        <w:rPr>
          <w:rFonts w:ascii="Times New Roman" w:hAnsi="Times New Roman" w:eastAsia="黑体" w:cs="黑体"/>
          <w:sz w:val="30"/>
          <w:szCs w:val="30"/>
          <w:lang w:val="zh-CN"/>
        </w:rPr>
      </w:pPr>
      <w:r>
        <w:rPr>
          <w:rFonts w:ascii="Times New Roman" w:hAnsi="Times New Roman" w:eastAsia="黑体" w:cs="黑体"/>
          <w:sz w:val="30"/>
          <w:szCs w:val="30"/>
          <w:lang w:val="zh-CN"/>
        </w:rPr>
        <w:br w:type="page"/>
      </w:r>
    </w:p>
    <w:p w14:paraId="6B3828A2">
      <w:pPr>
        <w:keepNext/>
        <w:keepLines/>
        <w:pageBreakBefore w:val="0"/>
        <w:kinsoku/>
        <w:wordWrap/>
        <w:overflowPunct/>
        <w:topLinePunct w:val="0"/>
        <w:autoSpaceDE w:val="0"/>
        <w:autoSpaceDN w:val="0"/>
        <w:bidi w:val="0"/>
        <w:adjustRightInd w:val="0"/>
        <w:snapToGrid/>
        <w:spacing w:line="600" w:lineRule="exact"/>
        <w:jc w:val="center"/>
        <w:textAlignment w:val="auto"/>
        <w:outlineLvl w:val="0"/>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第二部分  2023年度部门决算表</w:t>
      </w:r>
    </w:p>
    <w:p w14:paraId="1702994C">
      <w:pPr>
        <w:pageBreakBefore w:val="0"/>
        <w:kinsoku/>
        <w:wordWrap/>
        <w:overflowPunct/>
        <w:topLinePunct w:val="0"/>
        <w:autoSpaceDE w:val="0"/>
        <w:autoSpaceDN w:val="0"/>
        <w:bidi w:val="0"/>
        <w:adjustRightInd w:val="0"/>
        <w:snapToGrid/>
        <w:spacing w:line="600" w:lineRule="exact"/>
        <w:jc w:val="both"/>
        <w:textAlignment w:val="auto"/>
        <w:rPr>
          <w:rFonts w:ascii="Times New Roman" w:hAnsi="Times New Roman" w:eastAsia="方正小标宋简体" w:cs="Times New Roman"/>
          <w:kern w:val="0"/>
          <w:sz w:val="24"/>
          <w:szCs w:val="24"/>
        </w:rPr>
      </w:pPr>
    </w:p>
    <w:p w14:paraId="21530D68">
      <w:pPr>
        <w:keepNext/>
        <w:keepLines/>
        <w:pageBreakBefore w:val="0"/>
        <w:kinsoku/>
        <w:wordWrap/>
        <w:overflowPunct/>
        <w:topLinePunct w:val="0"/>
        <w:autoSpaceDE w:val="0"/>
        <w:autoSpaceDN w:val="0"/>
        <w:bidi w:val="0"/>
        <w:adjustRightInd w:val="0"/>
        <w:snapToGrid/>
        <w:spacing w:line="600" w:lineRule="exact"/>
        <w:ind w:firstLine="600"/>
        <w:jc w:val="both"/>
        <w:textAlignment w:val="auto"/>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一、《收入支出决算总表》</w:t>
      </w:r>
    </w:p>
    <w:p w14:paraId="1158BCF2">
      <w:pPr>
        <w:keepNext/>
        <w:keepLines/>
        <w:pageBreakBefore w:val="0"/>
        <w:kinsoku/>
        <w:wordWrap/>
        <w:overflowPunct/>
        <w:topLinePunct w:val="0"/>
        <w:autoSpaceDE w:val="0"/>
        <w:autoSpaceDN w:val="0"/>
        <w:bidi w:val="0"/>
        <w:adjustRightInd w:val="0"/>
        <w:snapToGrid/>
        <w:spacing w:line="600" w:lineRule="exact"/>
        <w:ind w:firstLine="600"/>
        <w:jc w:val="both"/>
        <w:textAlignment w:val="auto"/>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二、《收入决算表（按功能分类列示）》</w:t>
      </w:r>
    </w:p>
    <w:p w14:paraId="267E7BFE">
      <w:pPr>
        <w:keepNext/>
        <w:keepLines/>
        <w:pageBreakBefore w:val="0"/>
        <w:kinsoku/>
        <w:wordWrap/>
        <w:overflowPunct/>
        <w:topLinePunct w:val="0"/>
        <w:autoSpaceDE w:val="0"/>
        <w:autoSpaceDN w:val="0"/>
        <w:bidi w:val="0"/>
        <w:adjustRightInd w:val="0"/>
        <w:snapToGrid/>
        <w:spacing w:line="600" w:lineRule="exact"/>
        <w:ind w:firstLine="600"/>
        <w:jc w:val="both"/>
        <w:textAlignment w:val="auto"/>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三、《收入决算表（按单位列示）》</w:t>
      </w:r>
    </w:p>
    <w:p w14:paraId="030867B3">
      <w:pPr>
        <w:keepNext/>
        <w:keepLines/>
        <w:pageBreakBefore w:val="0"/>
        <w:kinsoku/>
        <w:wordWrap/>
        <w:overflowPunct/>
        <w:topLinePunct w:val="0"/>
        <w:autoSpaceDE w:val="0"/>
        <w:autoSpaceDN w:val="0"/>
        <w:bidi w:val="0"/>
        <w:adjustRightInd w:val="0"/>
        <w:snapToGrid/>
        <w:spacing w:line="600" w:lineRule="exact"/>
        <w:ind w:firstLine="600"/>
        <w:jc w:val="both"/>
        <w:textAlignment w:val="auto"/>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四、《支出决算表》</w:t>
      </w:r>
    </w:p>
    <w:p w14:paraId="001C2E8D">
      <w:pPr>
        <w:keepNext/>
        <w:keepLines/>
        <w:pageBreakBefore w:val="0"/>
        <w:kinsoku/>
        <w:wordWrap/>
        <w:overflowPunct/>
        <w:topLinePunct w:val="0"/>
        <w:autoSpaceDE w:val="0"/>
        <w:autoSpaceDN w:val="0"/>
        <w:bidi w:val="0"/>
        <w:adjustRightInd w:val="0"/>
        <w:snapToGrid/>
        <w:spacing w:line="600" w:lineRule="exact"/>
        <w:ind w:firstLine="600"/>
        <w:jc w:val="both"/>
        <w:textAlignment w:val="auto"/>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五、《财政拨款收入支出决算总表》</w:t>
      </w:r>
    </w:p>
    <w:p w14:paraId="1F46A61F">
      <w:pPr>
        <w:keepNext/>
        <w:keepLines/>
        <w:pageBreakBefore w:val="0"/>
        <w:kinsoku/>
        <w:wordWrap/>
        <w:overflowPunct/>
        <w:topLinePunct w:val="0"/>
        <w:autoSpaceDE w:val="0"/>
        <w:autoSpaceDN w:val="0"/>
        <w:bidi w:val="0"/>
        <w:adjustRightInd w:val="0"/>
        <w:snapToGrid/>
        <w:spacing w:line="600" w:lineRule="exact"/>
        <w:ind w:firstLine="600"/>
        <w:jc w:val="both"/>
        <w:textAlignment w:val="auto"/>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六、《一般公共预算财政拨款支出决算表》</w:t>
      </w:r>
    </w:p>
    <w:p w14:paraId="58AFA0F0">
      <w:pPr>
        <w:keepNext/>
        <w:keepLines/>
        <w:pageBreakBefore w:val="0"/>
        <w:kinsoku/>
        <w:wordWrap/>
        <w:overflowPunct/>
        <w:topLinePunct w:val="0"/>
        <w:autoSpaceDE w:val="0"/>
        <w:autoSpaceDN w:val="0"/>
        <w:bidi w:val="0"/>
        <w:adjustRightInd w:val="0"/>
        <w:snapToGrid/>
        <w:spacing w:line="600" w:lineRule="exact"/>
        <w:ind w:firstLine="600"/>
        <w:jc w:val="both"/>
        <w:textAlignment w:val="auto"/>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七、《一般公共预算财政拨款基本支出决算表》</w:t>
      </w:r>
    </w:p>
    <w:p w14:paraId="27B33756">
      <w:pPr>
        <w:keepNext/>
        <w:keepLines/>
        <w:pageBreakBefore w:val="0"/>
        <w:kinsoku/>
        <w:wordWrap/>
        <w:overflowPunct/>
        <w:topLinePunct w:val="0"/>
        <w:autoSpaceDE w:val="0"/>
        <w:autoSpaceDN w:val="0"/>
        <w:bidi w:val="0"/>
        <w:adjustRightInd w:val="0"/>
        <w:snapToGrid/>
        <w:spacing w:line="600" w:lineRule="exact"/>
        <w:ind w:firstLine="600"/>
        <w:jc w:val="both"/>
        <w:textAlignment w:val="auto"/>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八、《政府性基金预算财政拨款收入支出决算表》</w:t>
      </w:r>
    </w:p>
    <w:p w14:paraId="11FFF824">
      <w:pPr>
        <w:keepNext/>
        <w:keepLines/>
        <w:pageBreakBefore w:val="0"/>
        <w:kinsoku/>
        <w:wordWrap/>
        <w:overflowPunct/>
        <w:topLinePunct w:val="0"/>
        <w:autoSpaceDE w:val="0"/>
        <w:autoSpaceDN w:val="0"/>
        <w:bidi w:val="0"/>
        <w:adjustRightInd w:val="0"/>
        <w:snapToGrid/>
        <w:spacing w:line="600" w:lineRule="exact"/>
        <w:ind w:firstLine="600"/>
        <w:jc w:val="both"/>
        <w:textAlignment w:val="auto"/>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九、《国有资本经营预算财政拨款收入支出决算表》</w:t>
      </w:r>
    </w:p>
    <w:p w14:paraId="65782697">
      <w:pPr>
        <w:keepNext/>
        <w:keepLines/>
        <w:pageBreakBefore w:val="0"/>
        <w:kinsoku/>
        <w:wordWrap/>
        <w:overflowPunct/>
        <w:topLinePunct w:val="0"/>
        <w:autoSpaceDE w:val="0"/>
        <w:autoSpaceDN w:val="0"/>
        <w:bidi w:val="0"/>
        <w:adjustRightInd w:val="0"/>
        <w:snapToGrid/>
        <w:spacing w:line="600" w:lineRule="exact"/>
        <w:ind w:firstLine="600"/>
        <w:jc w:val="both"/>
        <w:textAlignment w:val="auto"/>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十、《财政拨款</w:t>
      </w:r>
      <w:r>
        <w:rPr>
          <w:rFonts w:ascii="Times New Roman" w:hAnsi="Times New Roman" w:eastAsia="黑体" w:cs="黑体"/>
          <w:kern w:val="0"/>
          <w:sz w:val="30"/>
          <w:szCs w:val="30"/>
        </w:rPr>
        <w:t>“</w:t>
      </w:r>
      <w:r>
        <w:rPr>
          <w:rFonts w:hint="eastAsia" w:ascii="Times New Roman" w:hAnsi="Times New Roman" w:eastAsia="黑体" w:cs="黑体"/>
          <w:kern w:val="0"/>
          <w:sz w:val="30"/>
          <w:szCs w:val="30"/>
        </w:rPr>
        <w:t>三公</w:t>
      </w:r>
      <w:r>
        <w:rPr>
          <w:rFonts w:ascii="Times New Roman" w:hAnsi="Times New Roman" w:eastAsia="黑体" w:cs="黑体"/>
          <w:kern w:val="0"/>
          <w:sz w:val="30"/>
          <w:szCs w:val="30"/>
        </w:rPr>
        <w:t>”</w:t>
      </w:r>
      <w:r>
        <w:rPr>
          <w:rFonts w:hint="eastAsia" w:ascii="Times New Roman" w:hAnsi="Times New Roman" w:eastAsia="黑体" w:cs="黑体"/>
          <w:kern w:val="0"/>
          <w:sz w:val="30"/>
          <w:szCs w:val="30"/>
        </w:rPr>
        <w:t>经费支出决算表》</w:t>
      </w:r>
    </w:p>
    <w:p w14:paraId="5781A610">
      <w:pPr>
        <w:keepNext/>
        <w:keepLines/>
        <w:pageBreakBefore w:val="0"/>
        <w:kinsoku/>
        <w:wordWrap/>
        <w:overflowPunct/>
        <w:topLinePunct w:val="0"/>
        <w:autoSpaceDE w:val="0"/>
        <w:autoSpaceDN w:val="0"/>
        <w:bidi w:val="0"/>
        <w:adjustRightInd w:val="0"/>
        <w:snapToGrid/>
        <w:spacing w:line="600" w:lineRule="exact"/>
        <w:ind w:firstLine="600"/>
        <w:jc w:val="both"/>
        <w:textAlignment w:val="auto"/>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十一、《项目支出决算表》</w:t>
      </w:r>
    </w:p>
    <w:p w14:paraId="09681C9F">
      <w:pPr>
        <w:pageBreakBefore w:val="0"/>
        <w:kinsoku/>
        <w:wordWrap/>
        <w:overflowPunct/>
        <w:topLinePunct w:val="0"/>
        <w:autoSpaceDE w:val="0"/>
        <w:autoSpaceDN w:val="0"/>
        <w:bidi w:val="0"/>
        <w:adjustRightInd w:val="0"/>
        <w:snapToGrid/>
        <w:spacing w:line="600" w:lineRule="exact"/>
        <w:jc w:val="both"/>
        <w:textAlignment w:val="auto"/>
        <w:rPr>
          <w:rFonts w:ascii="Times New Roman" w:hAnsi="Times New Roman" w:eastAsia="楷体" w:cs="楷体"/>
          <w:kern w:val="0"/>
          <w:sz w:val="30"/>
          <w:szCs w:val="30"/>
        </w:rPr>
      </w:pPr>
    </w:p>
    <w:p w14:paraId="7F12EBBF">
      <w:pPr>
        <w:pageBreakBefore w:val="0"/>
        <w:kinsoku/>
        <w:wordWrap/>
        <w:overflowPunct/>
        <w:topLinePunct w:val="0"/>
        <w:autoSpaceDE w:val="0"/>
        <w:autoSpaceDN w:val="0"/>
        <w:bidi w:val="0"/>
        <w:adjustRightInd w:val="0"/>
        <w:snapToGrid/>
        <w:spacing w:line="600" w:lineRule="exact"/>
        <w:jc w:val="both"/>
        <w:textAlignment w:val="auto"/>
        <w:rPr>
          <w:rFonts w:ascii="Times New Roman" w:hAnsi="Times New Roman" w:eastAsia="黑体" w:cs="黑体"/>
          <w:b/>
          <w:bCs/>
          <w:kern w:val="0"/>
          <w:sz w:val="30"/>
          <w:szCs w:val="30"/>
        </w:rPr>
      </w:pPr>
      <w:r>
        <w:rPr>
          <w:rFonts w:ascii="Times New Roman" w:hAnsi="Times New Roman" w:eastAsia="楷体" w:cs="Times New Roman"/>
          <w:kern w:val="0"/>
          <w:sz w:val="24"/>
          <w:szCs w:val="24"/>
        </w:rPr>
        <w:br w:type="page"/>
      </w:r>
      <w:r>
        <w:rPr>
          <w:rFonts w:hint="eastAsia" w:ascii="Times New Roman" w:hAnsi="Times New Roman" w:eastAsia="楷体" w:cs="Times New Roman"/>
          <w:kern w:val="0"/>
          <w:sz w:val="24"/>
          <w:szCs w:val="24"/>
          <w:lang w:val="en-US" w:eastAsia="zh-CN"/>
        </w:rPr>
        <w:t xml:space="preserve">     </w:t>
      </w:r>
      <w:r>
        <w:rPr>
          <w:rFonts w:hint="eastAsia" w:ascii="Times New Roman" w:hAnsi="Times New Roman" w:eastAsia="黑体" w:cs="黑体"/>
          <w:b/>
          <w:bCs/>
          <w:kern w:val="0"/>
          <w:sz w:val="30"/>
          <w:szCs w:val="30"/>
        </w:rPr>
        <w:t>十二、关于空表的说明</w:t>
      </w:r>
    </w:p>
    <w:p w14:paraId="5D337EEC">
      <w:pPr>
        <w:keepNext/>
        <w:keepLines/>
        <w:pageBreakBefore w:val="0"/>
        <w:kinsoku/>
        <w:wordWrap/>
        <w:overflowPunct/>
        <w:topLinePunct w:val="0"/>
        <w:autoSpaceDE w:val="0"/>
        <w:autoSpaceDN w:val="0"/>
        <w:bidi w:val="0"/>
        <w:adjustRightInd w:val="0"/>
        <w:snapToGrid/>
        <w:spacing w:line="600" w:lineRule="exact"/>
        <w:ind w:firstLine="600"/>
        <w:jc w:val="both"/>
        <w:textAlignment w:val="auto"/>
        <w:outlineLvl w:val="1"/>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1. 中国国际贸易促进委员会天津市分会2023年度政府性基金预算财政拨款收入支出决算表为空表。</w:t>
      </w:r>
    </w:p>
    <w:p w14:paraId="29B84CB0">
      <w:pPr>
        <w:keepNext/>
        <w:keepLines/>
        <w:pageBreakBefore w:val="0"/>
        <w:kinsoku/>
        <w:wordWrap/>
        <w:overflowPunct/>
        <w:topLinePunct w:val="0"/>
        <w:autoSpaceDE w:val="0"/>
        <w:autoSpaceDN w:val="0"/>
        <w:bidi w:val="0"/>
        <w:adjustRightInd w:val="0"/>
        <w:snapToGrid/>
        <w:spacing w:line="600" w:lineRule="exact"/>
        <w:ind w:firstLine="600"/>
        <w:jc w:val="both"/>
        <w:textAlignment w:val="auto"/>
        <w:outlineLvl w:val="1"/>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2.中国国际贸易促进委员会天津市分会2023年度国有资本经营预算财政拨款</w:t>
      </w:r>
      <w:r>
        <w:rPr>
          <w:rFonts w:hint="eastAsia" w:ascii="Times New Roman" w:hAnsi="Times New Roman" w:eastAsia="仿宋_GB2312" w:cs="仿宋_GB2312"/>
          <w:kern w:val="0"/>
          <w:sz w:val="30"/>
          <w:szCs w:val="30"/>
          <w:lang w:val="en-US" w:eastAsia="zh-CN"/>
        </w:rPr>
        <w:t>收入</w:t>
      </w:r>
      <w:r>
        <w:rPr>
          <w:rFonts w:hint="eastAsia" w:ascii="Times New Roman" w:hAnsi="Times New Roman" w:eastAsia="仿宋_GB2312" w:cs="仿宋_GB2312"/>
          <w:kern w:val="0"/>
          <w:sz w:val="30"/>
          <w:szCs w:val="30"/>
        </w:rPr>
        <w:t>支出决算表为空表。</w:t>
      </w:r>
    </w:p>
    <w:p w14:paraId="229CC03F">
      <w:pPr>
        <w:pageBreakBefore w:val="0"/>
        <w:widowControl/>
        <w:kinsoku/>
        <w:wordWrap/>
        <w:overflowPunct/>
        <w:topLinePunct w:val="0"/>
        <w:bidi w:val="0"/>
        <w:snapToGrid/>
        <w:spacing w:line="600" w:lineRule="exact"/>
        <w:jc w:val="both"/>
        <w:textAlignment w:val="auto"/>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br w:type="page"/>
      </w:r>
    </w:p>
    <w:p w14:paraId="6AEE645D">
      <w:pPr>
        <w:keepNext/>
        <w:keepLines/>
        <w:pageBreakBefore w:val="0"/>
        <w:kinsoku/>
        <w:wordWrap/>
        <w:overflowPunct/>
        <w:topLinePunct w:val="0"/>
        <w:autoSpaceDE w:val="0"/>
        <w:autoSpaceDN w:val="0"/>
        <w:bidi w:val="0"/>
        <w:adjustRightInd w:val="0"/>
        <w:snapToGrid/>
        <w:spacing w:line="600" w:lineRule="exact"/>
        <w:jc w:val="center"/>
        <w:textAlignment w:val="auto"/>
        <w:outlineLvl w:val="1"/>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第三部分  2023年度部门决算情况说明</w:t>
      </w:r>
    </w:p>
    <w:p w14:paraId="0DEF453D">
      <w:pPr>
        <w:pageBreakBefore w:val="0"/>
        <w:kinsoku/>
        <w:wordWrap/>
        <w:overflowPunct/>
        <w:topLinePunct w:val="0"/>
        <w:autoSpaceDE w:val="0"/>
        <w:autoSpaceDN w:val="0"/>
        <w:bidi w:val="0"/>
        <w:adjustRightInd w:val="0"/>
        <w:snapToGrid/>
        <w:spacing w:line="600" w:lineRule="exact"/>
        <w:ind w:firstLine="600"/>
        <w:jc w:val="both"/>
        <w:textAlignment w:val="auto"/>
        <w:rPr>
          <w:rFonts w:ascii="Times New Roman" w:hAnsi="Times New Roman" w:eastAsia="黑体" w:cs="黑体"/>
          <w:sz w:val="30"/>
          <w:szCs w:val="30"/>
          <w:lang w:val="zh-CN"/>
        </w:rPr>
      </w:pPr>
    </w:p>
    <w:p w14:paraId="541F1F92">
      <w:pPr>
        <w:keepNext/>
        <w:keepLines/>
        <w:pageBreakBefore w:val="0"/>
        <w:kinsoku/>
        <w:wordWrap/>
        <w:overflowPunct/>
        <w:topLinePunct w:val="0"/>
        <w:autoSpaceDE w:val="0"/>
        <w:autoSpaceDN w:val="0"/>
        <w:bidi w:val="0"/>
        <w:adjustRightInd w:val="0"/>
        <w:snapToGrid/>
        <w:spacing w:line="600" w:lineRule="exact"/>
        <w:ind w:firstLine="602"/>
        <w:jc w:val="both"/>
        <w:textAlignment w:val="auto"/>
        <w:outlineLvl w:val="1"/>
        <w:rPr>
          <w:rFonts w:ascii="Times New Roman" w:hAnsi="Times New Roman" w:eastAsia="黑体" w:cs="黑体"/>
          <w:b/>
          <w:bCs/>
          <w:kern w:val="0"/>
          <w:sz w:val="30"/>
          <w:szCs w:val="30"/>
          <w:lang w:val="zh-CN"/>
        </w:rPr>
      </w:pPr>
      <w:r>
        <w:rPr>
          <w:rFonts w:hint="eastAsia" w:ascii="Times New Roman" w:hAnsi="Times New Roman" w:eastAsia="黑体" w:cs="黑体"/>
          <w:b/>
          <w:bCs/>
          <w:kern w:val="0"/>
          <w:sz w:val="30"/>
          <w:szCs w:val="30"/>
          <w:lang w:val="zh-CN"/>
        </w:rPr>
        <w:t>一、收入支出决算总体情况说明</w:t>
      </w:r>
    </w:p>
    <w:p w14:paraId="2C5D8081">
      <w:pPr>
        <w:keepNext/>
        <w:keepLines/>
        <w:pageBreakBefore w:val="0"/>
        <w:kinsoku/>
        <w:wordWrap/>
        <w:overflowPunct/>
        <w:topLinePunct w:val="0"/>
        <w:autoSpaceDE w:val="0"/>
        <w:autoSpaceDN w:val="0"/>
        <w:bidi w:val="0"/>
        <w:adjustRightInd w:val="0"/>
        <w:snapToGrid/>
        <w:spacing w:line="600" w:lineRule="exact"/>
        <w:ind w:firstLine="600"/>
        <w:jc w:val="both"/>
        <w:textAlignment w:val="auto"/>
        <w:outlineLvl w:val="1"/>
        <w:rPr>
          <w:rFonts w:ascii="Times New Roman" w:hAnsi="Times New Roman" w:eastAsia="仿宋_GB2312" w:cs="仿宋_GB2312"/>
          <w:kern w:val="0"/>
          <w:sz w:val="30"/>
          <w:szCs w:val="30"/>
        </w:rPr>
      </w:pPr>
      <w:r>
        <w:rPr>
          <w:rFonts w:hint="eastAsia" w:ascii="Times New Roman" w:hAnsi="Times New Roman" w:eastAsia="仿宋" w:cs="仿宋"/>
          <w:kern w:val="0"/>
          <w:sz w:val="30"/>
          <w:szCs w:val="30"/>
          <w:lang w:val="zh-CN"/>
        </w:rPr>
        <w:t>中国国际贸易促进委员会天津市分会</w:t>
      </w:r>
      <w:r>
        <w:rPr>
          <w:rFonts w:hint="eastAsia" w:ascii="Times New Roman" w:hAnsi="Times New Roman" w:eastAsia="仿宋" w:cs="Times New Roman"/>
          <w:kern w:val="0"/>
          <w:sz w:val="30"/>
          <w:szCs w:val="30"/>
          <w:lang w:val="zh-CN"/>
        </w:rPr>
        <w:t>2023</w:t>
      </w:r>
      <w:r>
        <w:rPr>
          <w:rFonts w:hint="eastAsia" w:ascii="Times New Roman" w:hAnsi="Times New Roman" w:eastAsia="仿宋_GB2312" w:cs="仿宋_GB2312"/>
          <w:kern w:val="0"/>
          <w:sz w:val="30"/>
          <w:szCs w:val="30"/>
          <w:lang w:val="zh-CN"/>
        </w:rPr>
        <w:t>年度收入、支出决算总计</w:t>
      </w:r>
      <w:r>
        <w:rPr>
          <w:rFonts w:hint="eastAsia" w:ascii="Times New Roman" w:hAnsi="Times New Roman" w:eastAsia="华文中宋"/>
          <w:sz w:val="30"/>
          <w:szCs w:val="30"/>
        </w:rPr>
        <w:t>26,399,688.43</w:t>
      </w:r>
      <w:r>
        <w:rPr>
          <w:rFonts w:hint="eastAsia" w:ascii="Times New Roman" w:hAnsi="Times New Roman" w:eastAsia="仿宋_GB2312" w:cs="仿宋_GB2312"/>
          <w:kern w:val="0"/>
          <w:sz w:val="30"/>
          <w:szCs w:val="30"/>
        </w:rPr>
        <w:t>元，与</w:t>
      </w:r>
      <w:r>
        <w:rPr>
          <w:rFonts w:hint="eastAsia" w:ascii="Times New Roman" w:hAnsi="Times New Roman" w:eastAsia="仿宋_GB2312" w:cs="Times New Roman"/>
          <w:kern w:val="0"/>
          <w:sz w:val="30"/>
          <w:szCs w:val="30"/>
        </w:rPr>
        <w:t>2022</w:t>
      </w:r>
      <w:r>
        <w:rPr>
          <w:rFonts w:hint="eastAsia" w:ascii="Times New Roman" w:hAnsi="Times New Roman" w:eastAsia="仿宋_GB2312" w:cs="仿宋_GB2312"/>
          <w:kern w:val="0"/>
          <w:sz w:val="30"/>
          <w:szCs w:val="30"/>
        </w:rPr>
        <w:t>年度相比，收、支总计各</w:t>
      </w:r>
      <w:r>
        <w:rPr>
          <w:rFonts w:hint="eastAsia" w:ascii="Times New Roman" w:hAnsi="Times New Roman" w:eastAsia="仿宋_GB2312" w:cs="仿宋_GB2312"/>
          <w:sz w:val="30"/>
          <w:szCs w:val="30"/>
        </w:rPr>
        <w:t>增加6,369,383.37</w:t>
      </w:r>
      <w:r>
        <w:rPr>
          <w:rFonts w:hint="eastAsia" w:ascii="Times New Roman" w:hAnsi="Times New Roman" w:eastAsia="仿宋_GB2312" w:cs="仿宋_GB2312"/>
          <w:kern w:val="0"/>
          <w:sz w:val="30"/>
          <w:szCs w:val="30"/>
        </w:rPr>
        <w:t>元</w:t>
      </w:r>
      <w:r>
        <w:rPr>
          <w:rFonts w:hint="eastAsia" w:ascii="Times New Roman" w:hAnsi="Times New Roman" w:eastAsia="仿宋_GB2312" w:cs="仿宋_GB2312"/>
          <w:sz w:val="30"/>
          <w:szCs w:val="30"/>
        </w:rPr>
        <w:t>，增长31.8</w:t>
      </w:r>
      <w:r>
        <w:rPr>
          <w:rFonts w:hint="eastAsia" w:ascii="Times New Roman" w:hAnsi="Times New Roman" w:eastAsia="仿宋_GB2312" w:cs="Times New Roman"/>
          <w:sz w:val="30"/>
          <w:szCs w:val="30"/>
        </w:rPr>
        <w:t>%</w:t>
      </w:r>
      <w:r>
        <w:rPr>
          <w:rFonts w:hint="eastAsia" w:ascii="Times New Roman" w:hAnsi="Times New Roman" w:eastAsia="仿宋_GB2312" w:cs="仿宋_GB2312"/>
          <w:sz w:val="30"/>
          <w:szCs w:val="30"/>
        </w:rPr>
        <w:t>，</w:t>
      </w:r>
      <w:r>
        <w:rPr>
          <w:rFonts w:hint="eastAsia" w:ascii="Times New Roman" w:hAnsi="Times New Roman" w:eastAsia="仿宋_GB2312" w:cs="仿宋_GB2312"/>
          <w:kern w:val="0"/>
          <w:sz w:val="30"/>
          <w:szCs w:val="30"/>
          <w:lang w:val="zh-CN"/>
        </w:rPr>
        <w:t>主要原因是</w:t>
      </w:r>
      <w:r>
        <w:rPr>
          <w:rFonts w:hint="eastAsia" w:ascii="Times New Roman" w:hAnsi="Times New Roman" w:eastAsia="仿宋_GB2312" w:cs="仿宋_GB2312"/>
          <w:kern w:val="0"/>
          <w:sz w:val="30"/>
          <w:szCs w:val="30"/>
        </w:rPr>
        <w:t>：新增加决算单位1家；本级增加人员及信息化项目。</w:t>
      </w:r>
    </w:p>
    <w:p w14:paraId="73D87DB5">
      <w:pPr>
        <w:keepNext/>
        <w:keepLines/>
        <w:pageBreakBefore w:val="0"/>
        <w:kinsoku/>
        <w:wordWrap/>
        <w:overflowPunct/>
        <w:topLinePunct w:val="0"/>
        <w:autoSpaceDE w:val="0"/>
        <w:autoSpaceDN w:val="0"/>
        <w:bidi w:val="0"/>
        <w:adjustRightInd w:val="0"/>
        <w:snapToGrid/>
        <w:spacing w:line="600" w:lineRule="exact"/>
        <w:ind w:firstLine="602"/>
        <w:jc w:val="both"/>
        <w:textAlignment w:val="auto"/>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二、</w:t>
      </w:r>
      <w:r>
        <w:rPr>
          <w:rFonts w:hint="eastAsia" w:ascii="Times New Roman" w:hAnsi="Times New Roman" w:eastAsia="黑体" w:cs="黑体"/>
          <w:b/>
          <w:bCs/>
          <w:kern w:val="0"/>
          <w:sz w:val="30"/>
          <w:szCs w:val="30"/>
        </w:rPr>
        <w:t>收入决算情况</w:t>
      </w:r>
      <w:r>
        <w:rPr>
          <w:rFonts w:hint="eastAsia" w:ascii="Times New Roman" w:hAnsi="Times New Roman" w:eastAsia="黑体" w:cs="黑体"/>
          <w:b/>
          <w:bCs/>
          <w:kern w:val="0"/>
          <w:sz w:val="30"/>
          <w:szCs w:val="30"/>
          <w:lang w:val="zh-CN"/>
        </w:rPr>
        <w:t>说明</w:t>
      </w:r>
    </w:p>
    <w:p w14:paraId="4F3303A5">
      <w:pPr>
        <w:pageBreakBefore w:val="0"/>
        <w:kinsoku/>
        <w:wordWrap/>
        <w:overflowPunct/>
        <w:topLinePunct w:val="0"/>
        <w:autoSpaceDE w:val="0"/>
        <w:autoSpaceDN w:val="0"/>
        <w:bidi w:val="0"/>
        <w:adjustRightInd w:val="0"/>
        <w:snapToGrid/>
        <w:spacing w:line="600" w:lineRule="exact"/>
        <w:ind w:firstLine="600"/>
        <w:jc w:val="both"/>
        <w:textAlignment w:val="auto"/>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中国国际贸易促进委员会天津市分会</w:t>
      </w:r>
      <w:r>
        <w:rPr>
          <w:rFonts w:hint="eastAsia" w:ascii="Times New Roman" w:hAnsi="Times New Roman" w:eastAsia="仿宋_GB2312" w:cs="Times New Roman"/>
          <w:sz w:val="30"/>
          <w:szCs w:val="30"/>
        </w:rPr>
        <w:t>2023</w:t>
      </w:r>
      <w:r>
        <w:rPr>
          <w:rFonts w:hint="eastAsia" w:ascii="Times New Roman" w:hAnsi="Times New Roman" w:eastAsia="仿宋_GB2312" w:cs="仿宋_GB2312"/>
          <w:sz w:val="30"/>
          <w:szCs w:val="30"/>
          <w:lang w:val="zh-CN"/>
        </w:rPr>
        <w:t>年度本年收入合计</w:t>
      </w:r>
      <w:r>
        <w:rPr>
          <w:rFonts w:hint="eastAsia" w:ascii="Times New Roman" w:hAnsi="Times New Roman" w:eastAsia="仿宋_GB2312" w:cs="Times New Roman"/>
          <w:sz w:val="30"/>
          <w:szCs w:val="30"/>
        </w:rPr>
        <w:t>25,699,074.83</w:t>
      </w:r>
      <w:r>
        <w:rPr>
          <w:rFonts w:hint="eastAsia" w:ascii="Times New Roman" w:hAnsi="Times New Roman" w:eastAsia="仿宋_GB2312" w:cs="仿宋_GB2312"/>
          <w:sz w:val="30"/>
          <w:szCs w:val="30"/>
        </w:rPr>
        <w:t>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年度相比增加5,668,769.77元，</w:t>
      </w:r>
      <w:r>
        <w:rPr>
          <w:rFonts w:hint="eastAsia" w:ascii="Times New Roman" w:hAnsi="Times New Roman" w:eastAsia="仿宋_GB2312" w:cs="仿宋_GB2312"/>
          <w:kern w:val="0"/>
          <w:sz w:val="30"/>
          <w:szCs w:val="30"/>
          <w:lang w:val="zh-CN"/>
        </w:rPr>
        <w:t>主要原因是</w:t>
      </w:r>
      <w:r>
        <w:rPr>
          <w:rFonts w:hint="eastAsia" w:ascii="Times New Roman" w:hAnsi="Times New Roman" w:eastAsia="仿宋_GB2312" w:cs="仿宋_GB2312"/>
          <w:kern w:val="0"/>
          <w:sz w:val="30"/>
          <w:szCs w:val="30"/>
        </w:rPr>
        <w:t>：新增加决算单位1家,本级增加人员及信息化项目。</w:t>
      </w:r>
    </w:p>
    <w:p w14:paraId="0CD52558">
      <w:pPr>
        <w:pageBreakBefore w:val="0"/>
        <w:kinsoku/>
        <w:wordWrap/>
        <w:overflowPunct/>
        <w:topLinePunct w:val="0"/>
        <w:autoSpaceDE w:val="0"/>
        <w:autoSpaceDN w:val="0"/>
        <w:bidi w:val="0"/>
        <w:adjustRightInd w:val="0"/>
        <w:snapToGrid/>
        <w:spacing w:line="600" w:lineRule="exact"/>
        <w:ind w:firstLine="600"/>
        <w:jc w:val="both"/>
        <w:textAlignment w:val="auto"/>
        <w:rPr>
          <w:rFonts w:ascii="Times New Roman" w:hAnsi="Times New Roman" w:eastAsia="宋体" w:cs="Times New Roman"/>
          <w:sz w:val="30"/>
          <w:szCs w:val="30"/>
        </w:rPr>
      </w:pPr>
      <w:r>
        <w:rPr>
          <w:rFonts w:hint="eastAsia" w:ascii="Times New Roman" w:hAnsi="Times New Roman" w:eastAsia="仿宋_GB2312" w:cs="仿宋_GB2312"/>
          <w:sz w:val="30"/>
          <w:szCs w:val="30"/>
        </w:rPr>
        <w:t>其中：</w:t>
      </w:r>
      <w:r>
        <w:rPr>
          <w:rFonts w:ascii="Times New Roman" w:hAnsi="Times New Roman" w:eastAsia="仿宋_GB2312" w:cs="仿宋_GB2312"/>
          <w:sz w:val="30"/>
          <w:szCs w:val="30"/>
          <w:lang w:val="zh-CN"/>
        </w:rPr>
        <w:t>一般公共预算财政拨款收入</w:t>
      </w:r>
      <w:r>
        <w:rPr>
          <w:rFonts w:hint="eastAsia" w:ascii="Times New Roman" w:hAnsi="Times New Roman" w:eastAsia="仿宋_GB2312" w:cs="Times New Roman"/>
          <w:sz w:val="30"/>
          <w:szCs w:val="30"/>
        </w:rPr>
        <w:t>23,156,793.26</w:t>
      </w:r>
      <w:r>
        <w:rPr>
          <w:rFonts w:hint="eastAsia" w:ascii="Times New Roman" w:hAnsi="Times New Roman" w:eastAsia="仿宋_GB2312" w:cs="仿宋_GB2312"/>
          <w:sz w:val="30"/>
          <w:szCs w:val="30"/>
          <w:lang w:val="zh-CN"/>
        </w:rPr>
        <w:t>元</w:t>
      </w:r>
      <w:r>
        <w:rPr>
          <w:rFonts w:ascii="Times New Roman" w:hAnsi="Times New Roman" w:eastAsia="仿宋_GB2312" w:cs="仿宋_GB2312"/>
          <w:sz w:val="30"/>
          <w:szCs w:val="30"/>
          <w:lang w:val="zh-CN"/>
        </w:rPr>
        <w:t>，占</w:t>
      </w:r>
      <w:r>
        <w:rPr>
          <w:rFonts w:hint="eastAsia" w:ascii="Times New Roman" w:hAnsi="Times New Roman" w:eastAsia="仿宋_GB2312" w:cs="Times New Roman"/>
          <w:sz w:val="30"/>
          <w:szCs w:val="30"/>
        </w:rPr>
        <w:t>90.11</w:t>
      </w:r>
      <w:r>
        <w:rPr>
          <w:rFonts w:hint="eastAsia" w:ascii="Times New Roman" w:hAnsi="Times New Roman" w:eastAsia="宋体" w:cs="Times New Roman"/>
          <w:sz w:val="30"/>
          <w:szCs w:val="30"/>
        </w:rPr>
        <w:t>%；</w:t>
      </w:r>
    </w:p>
    <w:p w14:paraId="10229BA1">
      <w:pPr>
        <w:pageBreakBefore w:val="0"/>
        <w:kinsoku/>
        <w:wordWrap/>
        <w:overflowPunct/>
        <w:topLinePunct w:val="0"/>
        <w:autoSpaceDE w:val="0"/>
        <w:autoSpaceDN w:val="0"/>
        <w:bidi w:val="0"/>
        <w:adjustRightInd w:val="0"/>
        <w:snapToGrid/>
        <w:spacing w:line="600" w:lineRule="exact"/>
        <w:ind w:firstLine="600"/>
        <w:jc w:val="both"/>
        <w:textAlignment w:val="auto"/>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事业单位经营收入</w:t>
      </w:r>
      <w:r>
        <w:rPr>
          <w:rFonts w:hint="eastAsia" w:ascii="Times New Roman" w:hAnsi="Times New Roman" w:eastAsia="仿宋_GB2312" w:cs="仿宋_GB2312"/>
          <w:sz w:val="30"/>
          <w:szCs w:val="30"/>
          <w:lang w:val="zh-CN"/>
        </w:rPr>
        <w:t>2,459,990.00元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9.57%；</w:t>
      </w:r>
    </w:p>
    <w:p w14:paraId="2894A769">
      <w:pPr>
        <w:pageBreakBefore w:val="0"/>
        <w:kinsoku/>
        <w:wordWrap/>
        <w:overflowPunct/>
        <w:topLinePunct w:val="0"/>
        <w:autoSpaceDE w:val="0"/>
        <w:autoSpaceDN w:val="0"/>
        <w:bidi w:val="0"/>
        <w:adjustRightInd w:val="0"/>
        <w:snapToGrid/>
        <w:spacing w:line="600" w:lineRule="exact"/>
        <w:ind w:firstLine="600"/>
        <w:jc w:val="both"/>
        <w:textAlignment w:val="auto"/>
        <w:rPr>
          <w:rFonts w:ascii="Times New Roman" w:hAnsi="Times New Roman" w:eastAsia="仿宋_GB2312" w:cs="仿宋_GB2312"/>
          <w:sz w:val="30"/>
          <w:szCs w:val="30"/>
        </w:rPr>
      </w:pPr>
      <w:r>
        <w:rPr>
          <w:rFonts w:ascii="Times New Roman" w:hAnsi="Times New Roman" w:eastAsia="仿宋_GB2312" w:cs="仿宋_GB2312"/>
          <w:sz w:val="30"/>
          <w:szCs w:val="30"/>
          <w:lang w:val="zh-CN"/>
        </w:rPr>
        <w:t>其他收入</w:t>
      </w:r>
      <w:r>
        <w:rPr>
          <w:rFonts w:hint="eastAsia" w:ascii="Times New Roman" w:hAnsi="Times New Roman" w:eastAsia="仿宋_GB2312" w:cs="仿宋_GB2312"/>
          <w:sz w:val="30"/>
          <w:szCs w:val="30"/>
          <w:lang w:val="zh-CN"/>
        </w:rPr>
        <w:t>82,291.57元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0.32%。</w:t>
      </w:r>
    </w:p>
    <w:p w14:paraId="610D01F5">
      <w:pPr>
        <w:keepNext/>
        <w:keepLines/>
        <w:pageBreakBefore w:val="0"/>
        <w:kinsoku/>
        <w:wordWrap/>
        <w:overflowPunct/>
        <w:topLinePunct w:val="0"/>
        <w:autoSpaceDE w:val="0"/>
        <w:autoSpaceDN w:val="0"/>
        <w:bidi w:val="0"/>
        <w:adjustRightInd w:val="0"/>
        <w:snapToGrid/>
        <w:spacing w:line="600" w:lineRule="exact"/>
        <w:ind w:firstLine="602"/>
        <w:jc w:val="both"/>
        <w:textAlignment w:val="auto"/>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三、支出</w:t>
      </w:r>
      <w:r>
        <w:rPr>
          <w:rFonts w:hint="eastAsia" w:ascii="Times New Roman" w:hAnsi="Times New Roman" w:eastAsia="黑体" w:cs="黑体"/>
          <w:b/>
          <w:bCs/>
          <w:kern w:val="0"/>
          <w:sz w:val="30"/>
          <w:szCs w:val="30"/>
        </w:rPr>
        <w:t>决算情况说明</w:t>
      </w:r>
    </w:p>
    <w:p w14:paraId="00270EA0">
      <w:pPr>
        <w:pageBreakBefore w:val="0"/>
        <w:kinsoku/>
        <w:wordWrap/>
        <w:overflowPunct/>
        <w:topLinePunct w:val="0"/>
        <w:autoSpaceDE w:val="0"/>
        <w:autoSpaceDN w:val="0"/>
        <w:bidi w:val="0"/>
        <w:adjustRightInd w:val="0"/>
        <w:snapToGrid/>
        <w:spacing w:line="600" w:lineRule="exact"/>
        <w:ind w:firstLine="600"/>
        <w:jc w:val="both"/>
        <w:textAlignment w:val="auto"/>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中国国际贸易促进委员会天津市分会</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年度本年支出合计25,518,044.96元，与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年度相比增加5,490,821.23元，</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w:t>
      </w:r>
      <w:r>
        <w:rPr>
          <w:rFonts w:hint="eastAsia" w:ascii="Times New Roman" w:hAnsi="Times New Roman" w:eastAsia="仿宋_GB2312" w:cs="仿宋_GB2312"/>
          <w:kern w:val="0"/>
          <w:sz w:val="30"/>
          <w:szCs w:val="30"/>
        </w:rPr>
        <w:t>新增加决算单位1家,本级增加人员及信息化项目。</w:t>
      </w:r>
    </w:p>
    <w:p w14:paraId="2FF9A12A">
      <w:pPr>
        <w:pageBreakBefore w:val="0"/>
        <w:kinsoku/>
        <w:wordWrap/>
        <w:overflowPunct/>
        <w:topLinePunct w:val="0"/>
        <w:autoSpaceDE w:val="0"/>
        <w:autoSpaceDN w:val="0"/>
        <w:bidi w:val="0"/>
        <w:adjustRightInd w:val="0"/>
        <w:snapToGrid/>
        <w:spacing w:line="600" w:lineRule="exact"/>
        <w:ind w:firstLine="600"/>
        <w:jc w:val="both"/>
        <w:textAlignment w:val="auto"/>
        <w:rPr>
          <w:rFonts w:ascii="Times New Roman" w:hAnsi="Times New Roman" w:eastAsia="仿宋_GB2312" w:cs="仿宋_GB2312"/>
          <w:sz w:val="30"/>
          <w:szCs w:val="30"/>
        </w:rPr>
      </w:pPr>
      <w:r>
        <w:rPr>
          <w:rFonts w:hint="eastAsia" w:ascii="Times New Roman" w:hAnsi="Times New Roman" w:eastAsia="仿宋_GB2312" w:cs="仿宋_GB2312"/>
          <w:sz w:val="30"/>
          <w:szCs w:val="30"/>
        </w:rPr>
        <w:t>其中：</w:t>
      </w:r>
      <w:r>
        <w:rPr>
          <w:rFonts w:ascii="Times New Roman" w:hAnsi="Times New Roman" w:eastAsia="仿宋_GB2312" w:cs="仿宋_GB2312"/>
          <w:sz w:val="30"/>
          <w:szCs w:val="30"/>
        </w:rPr>
        <w:t>基本支出</w:t>
      </w:r>
      <w:r>
        <w:rPr>
          <w:rFonts w:hint="eastAsia" w:ascii="Times New Roman" w:hAnsi="Times New Roman" w:eastAsia="仿宋_GB2312" w:cs="仿宋_GB2312"/>
          <w:sz w:val="30"/>
          <w:szCs w:val="30"/>
        </w:rPr>
        <w:t>16,966,785.22元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占66.49%；</w:t>
      </w:r>
    </w:p>
    <w:p w14:paraId="0190A84D">
      <w:pPr>
        <w:pageBreakBefore w:val="0"/>
        <w:kinsoku/>
        <w:wordWrap/>
        <w:overflowPunct/>
        <w:topLinePunct w:val="0"/>
        <w:autoSpaceDE w:val="0"/>
        <w:autoSpaceDN w:val="0"/>
        <w:bidi w:val="0"/>
        <w:adjustRightInd w:val="0"/>
        <w:snapToGrid/>
        <w:spacing w:line="600" w:lineRule="exact"/>
        <w:ind w:firstLine="600"/>
        <w:jc w:val="both"/>
        <w:textAlignment w:val="auto"/>
        <w:rPr>
          <w:rFonts w:ascii="Times New Roman" w:hAnsi="Times New Roman" w:eastAsia="仿宋_GB2312" w:cs="仿宋_GB2312"/>
          <w:sz w:val="30"/>
          <w:szCs w:val="30"/>
        </w:rPr>
      </w:pPr>
      <w:r>
        <w:rPr>
          <w:rFonts w:ascii="Times New Roman" w:hAnsi="Times New Roman" w:eastAsia="仿宋_GB2312" w:cs="仿宋_GB2312"/>
          <w:sz w:val="30"/>
          <w:szCs w:val="30"/>
        </w:rPr>
        <w:t>项目支出</w:t>
      </w:r>
      <w:r>
        <w:rPr>
          <w:rFonts w:hint="eastAsia" w:ascii="Times New Roman" w:hAnsi="Times New Roman" w:eastAsia="仿宋_GB2312" w:cs="仿宋_GB2312"/>
          <w:sz w:val="30"/>
          <w:szCs w:val="30"/>
        </w:rPr>
        <w:t>6,190,439.16元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占24.26%；</w:t>
      </w:r>
    </w:p>
    <w:p w14:paraId="6DB7E11D">
      <w:pPr>
        <w:pageBreakBefore w:val="0"/>
        <w:kinsoku/>
        <w:wordWrap/>
        <w:overflowPunct/>
        <w:topLinePunct w:val="0"/>
        <w:autoSpaceDE w:val="0"/>
        <w:autoSpaceDN w:val="0"/>
        <w:bidi w:val="0"/>
        <w:adjustRightInd w:val="0"/>
        <w:snapToGrid/>
        <w:spacing w:line="600" w:lineRule="exact"/>
        <w:ind w:firstLine="600"/>
        <w:jc w:val="both"/>
        <w:textAlignment w:val="auto"/>
        <w:rPr>
          <w:rFonts w:ascii="Times New Roman" w:hAnsi="Times New Roman" w:eastAsia="黑体" w:cs="黑体"/>
          <w:sz w:val="30"/>
          <w:szCs w:val="30"/>
          <w:lang w:val="zh-CN"/>
        </w:rPr>
      </w:pPr>
      <w:r>
        <w:rPr>
          <w:rFonts w:ascii="Times New Roman" w:hAnsi="Times New Roman" w:eastAsia="仿宋_GB2312" w:cs="仿宋_GB2312"/>
          <w:sz w:val="30"/>
          <w:szCs w:val="30"/>
        </w:rPr>
        <w:t>经营支出</w:t>
      </w:r>
      <w:r>
        <w:rPr>
          <w:rFonts w:hint="eastAsia" w:ascii="Times New Roman" w:hAnsi="Times New Roman" w:eastAsia="仿宋_GB2312" w:cs="仿宋_GB2312"/>
          <w:sz w:val="30"/>
          <w:szCs w:val="30"/>
        </w:rPr>
        <w:t>2,360,820.58元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占9.25%。</w:t>
      </w:r>
    </w:p>
    <w:p w14:paraId="6660DA82">
      <w:pPr>
        <w:keepNext/>
        <w:keepLines/>
        <w:pageBreakBefore w:val="0"/>
        <w:kinsoku/>
        <w:wordWrap/>
        <w:overflowPunct/>
        <w:topLinePunct w:val="0"/>
        <w:autoSpaceDE w:val="0"/>
        <w:autoSpaceDN w:val="0"/>
        <w:bidi w:val="0"/>
        <w:adjustRightInd w:val="0"/>
        <w:snapToGrid/>
        <w:spacing w:line="600" w:lineRule="exact"/>
        <w:ind w:firstLine="602"/>
        <w:jc w:val="both"/>
        <w:textAlignment w:val="auto"/>
        <w:outlineLvl w:val="1"/>
        <w:rPr>
          <w:rFonts w:ascii="Times New Roman" w:hAnsi="Times New Roman" w:eastAsia="黑体" w:cs="黑体"/>
          <w:b/>
          <w:bCs/>
          <w:kern w:val="0"/>
          <w:sz w:val="30"/>
          <w:szCs w:val="30"/>
          <w:lang w:val="zh-CN"/>
        </w:rPr>
      </w:pPr>
      <w:r>
        <w:rPr>
          <w:rFonts w:hint="eastAsia" w:ascii="Times New Roman" w:hAnsi="Times New Roman" w:eastAsia="黑体" w:cs="黑体"/>
          <w:b/>
          <w:bCs/>
          <w:kern w:val="0"/>
          <w:sz w:val="30"/>
          <w:szCs w:val="30"/>
          <w:lang w:val="zh-CN"/>
        </w:rPr>
        <w:t>四、财政拨款收支决算总体情况说明</w:t>
      </w:r>
    </w:p>
    <w:p w14:paraId="554F8E60">
      <w:pPr>
        <w:pageBreakBefore w:val="0"/>
        <w:kinsoku/>
        <w:wordWrap/>
        <w:overflowPunct/>
        <w:topLinePunct w:val="0"/>
        <w:autoSpaceDE w:val="0"/>
        <w:autoSpaceDN w:val="0"/>
        <w:bidi w:val="0"/>
        <w:adjustRightInd w:val="0"/>
        <w:snapToGrid/>
        <w:spacing w:line="600" w:lineRule="exact"/>
        <w:ind w:firstLine="600"/>
        <w:jc w:val="both"/>
        <w:textAlignment w:val="auto"/>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中国国际贸易促进委员会天津市分会</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年度财政拨款收入、支出决算总计</w:t>
      </w:r>
      <w:r>
        <w:rPr>
          <w:rFonts w:hint="eastAsia" w:ascii="Times New Roman" w:hAnsi="Times New Roman" w:eastAsia="仿宋_GB2312" w:cs="Times New Roman"/>
          <w:sz w:val="30"/>
          <w:szCs w:val="30"/>
          <w:lang w:val="zh-CN"/>
        </w:rPr>
        <w:t>23,156,793.26</w:t>
      </w:r>
      <w:r>
        <w:rPr>
          <w:rFonts w:hint="eastAsia" w:ascii="Times New Roman" w:hAnsi="Times New Roman" w:eastAsia="仿宋_GB2312" w:cs="仿宋_GB2312"/>
          <w:sz w:val="30"/>
          <w:szCs w:val="30"/>
        </w:rPr>
        <w:t>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年度相比，财政拨款收、支总计各增加3,126,899.61元，增长15.61</w:t>
      </w:r>
      <w:r>
        <w:rPr>
          <w:rFonts w:hint="eastAsia" w:ascii="Times New Roman" w:hAnsi="Times New Roman" w:eastAsia="仿宋_GB2312" w:cs="Times New Roman"/>
          <w:sz w:val="30"/>
          <w:szCs w:val="30"/>
        </w:rPr>
        <w:t>%</w:t>
      </w:r>
      <w:r>
        <w:rPr>
          <w:rFonts w:hint="eastAsia" w:ascii="Times New Roman" w:hAnsi="Times New Roman" w:eastAsia="仿宋_GB2312" w:cs="仿宋_GB2312"/>
          <w:sz w:val="30"/>
          <w:szCs w:val="30"/>
          <w:lang w:eastAsia="zh-CN"/>
        </w:rPr>
        <w:t>，</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w:t>
      </w:r>
      <w:r>
        <w:rPr>
          <w:rFonts w:hint="eastAsia" w:ascii="Times New Roman" w:hAnsi="Times New Roman" w:eastAsia="仿宋_GB2312" w:cs="仿宋_GB2312"/>
          <w:kern w:val="0"/>
          <w:sz w:val="30"/>
          <w:szCs w:val="30"/>
        </w:rPr>
        <w:t>新增加决算单位1家,本级增加人员及信息化项目。</w:t>
      </w:r>
    </w:p>
    <w:p w14:paraId="4C7ABFC2">
      <w:pPr>
        <w:pageBreakBefore w:val="0"/>
        <w:kinsoku/>
        <w:wordWrap/>
        <w:overflowPunct/>
        <w:topLinePunct w:val="0"/>
        <w:autoSpaceDE w:val="0"/>
        <w:autoSpaceDN w:val="0"/>
        <w:bidi w:val="0"/>
        <w:adjustRightInd w:val="0"/>
        <w:snapToGrid/>
        <w:spacing w:line="600" w:lineRule="exact"/>
        <w:ind w:firstLine="600"/>
        <w:jc w:val="both"/>
        <w:textAlignment w:val="auto"/>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五、一般公共预算财政拨款支出决算情况说明</w:t>
      </w:r>
    </w:p>
    <w:p w14:paraId="31EAD853">
      <w:pPr>
        <w:pageBreakBefore w:val="0"/>
        <w:kinsoku/>
        <w:wordWrap/>
        <w:overflowPunct/>
        <w:topLinePunct w:val="0"/>
        <w:autoSpaceDE w:val="0"/>
        <w:autoSpaceDN w:val="0"/>
        <w:bidi w:val="0"/>
        <w:adjustRightInd w:val="0"/>
        <w:snapToGrid/>
        <w:spacing w:line="600" w:lineRule="exact"/>
        <w:ind w:left="480"/>
        <w:jc w:val="both"/>
        <w:textAlignment w:val="auto"/>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（一）总体情况</w:t>
      </w:r>
    </w:p>
    <w:p w14:paraId="5A8A3889">
      <w:pPr>
        <w:pageBreakBefore w:val="0"/>
        <w:kinsoku/>
        <w:wordWrap/>
        <w:overflowPunct/>
        <w:topLinePunct w:val="0"/>
        <w:autoSpaceDE w:val="0"/>
        <w:autoSpaceDN w:val="0"/>
        <w:bidi w:val="0"/>
        <w:adjustRightInd w:val="0"/>
        <w:snapToGrid/>
        <w:spacing w:line="600" w:lineRule="exact"/>
        <w:ind w:firstLine="600"/>
        <w:jc w:val="both"/>
        <w:textAlignment w:val="auto"/>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中国国际贸易促进委员会天津市分会</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年度部门决算一般公共预算财政拨款支出</w:t>
      </w:r>
      <w:r>
        <w:rPr>
          <w:rFonts w:hint="eastAsia" w:ascii="Times New Roman" w:hAnsi="Times New Roman" w:eastAsia="仿宋_GB2312" w:cs="仿宋_GB2312"/>
          <w:sz w:val="30"/>
          <w:szCs w:val="30"/>
          <w:lang w:val="zh-CN"/>
        </w:rPr>
        <w:t>合</w:t>
      </w:r>
      <w:r>
        <w:rPr>
          <w:rFonts w:hint="eastAsia" w:ascii="Times New Roman" w:hAnsi="Times New Roman" w:eastAsia="仿宋_GB2312" w:cs="仿宋_GB2312"/>
          <w:sz w:val="30"/>
          <w:szCs w:val="30"/>
        </w:rPr>
        <w:t>计</w:t>
      </w:r>
      <w:r>
        <w:rPr>
          <w:rFonts w:hint="eastAsia" w:ascii="Times New Roman" w:hAnsi="Times New Roman" w:eastAsia="仿宋_GB2312" w:cs="Times New Roman"/>
          <w:sz w:val="30"/>
          <w:szCs w:val="30"/>
        </w:rPr>
        <w:t>23,156,793.26</w:t>
      </w:r>
      <w:r>
        <w:rPr>
          <w:rFonts w:hint="eastAsia" w:ascii="Times New Roman" w:hAnsi="Times New Roman" w:eastAsia="仿宋_GB2312" w:cs="仿宋_GB2312"/>
          <w:sz w:val="30"/>
          <w:szCs w:val="30"/>
        </w:rPr>
        <w:t>元，占本年支出合计的</w:t>
      </w:r>
      <w:r>
        <w:rPr>
          <w:rFonts w:hint="eastAsia" w:ascii="Times New Roman" w:hAnsi="Times New Roman" w:eastAsia="仿宋_GB2312" w:cs="Times New Roman"/>
          <w:sz w:val="30"/>
          <w:szCs w:val="30"/>
        </w:rPr>
        <w:t>90.75</w:t>
      </w:r>
      <w:r>
        <w:rPr>
          <w:rFonts w:hint="eastAsia" w:ascii="Times New Roman" w:hAnsi="Times New Roman" w:eastAsia="宋体" w:cs="Times New Roman"/>
          <w:sz w:val="30"/>
          <w:szCs w:val="30"/>
        </w:rPr>
        <w:t>%</w:t>
      </w:r>
      <w:r>
        <w:rPr>
          <w:rFonts w:hint="eastAsia" w:ascii="Times New Roman" w:hAnsi="Times New Roman" w:eastAsia="仿宋_GB2312" w:cs="仿宋_GB2312"/>
          <w:sz w:val="30"/>
          <w:szCs w:val="30"/>
        </w:rPr>
        <w:t>，与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w:t>
      </w:r>
      <w:r>
        <w:rPr>
          <w:rFonts w:hint="eastAsia" w:eastAsia="仿宋_GB2312"/>
          <w:sz w:val="30"/>
          <w:szCs w:val="30"/>
        </w:rPr>
        <w:t>一般公共预算财政拨款支出增加</w:t>
      </w:r>
      <w:r>
        <w:rPr>
          <w:rFonts w:hint="eastAsia" w:ascii="Times New Roman" w:hAnsi="Times New Roman" w:eastAsia="仿宋_GB2312" w:cs="仿宋_GB2312"/>
          <w:sz w:val="30"/>
          <w:szCs w:val="30"/>
        </w:rPr>
        <w:t>3,129,924.61元，增长15.63</w:t>
      </w:r>
      <w:r>
        <w:rPr>
          <w:rFonts w:hint="eastAsia" w:ascii="Times New Roman" w:hAnsi="Times New Roman" w:eastAsia="宋体" w:cs="Times New Roman"/>
          <w:sz w:val="30"/>
          <w:szCs w:val="30"/>
        </w:rPr>
        <w:t>%</w:t>
      </w:r>
      <w:r>
        <w:rPr>
          <w:rFonts w:hint="eastAsia" w:ascii="Times New Roman" w:hAnsi="Times New Roman" w:eastAsia="仿宋_GB2312" w:cs="仿宋_GB2312"/>
          <w:sz w:val="30"/>
          <w:szCs w:val="30"/>
        </w:rPr>
        <w:t>，</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w:t>
      </w:r>
      <w:r>
        <w:rPr>
          <w:rFonts w:hint="eastAsia" w:ascii="Times New Roman" w:hAnsi="Times New Roman" w:eastAsia="仿宋_GB2312" w:cs="仿宋_GB2312"/>
          <w:kern w:val="0"/>
          <w:sz w:val="30"/>
          <w:szCs w:val="30"/>
        </w:rPr>
        <w:t>新增加决算单位1家,本级增加人员及信息化项目。</w:t>
      </w:r>
    </w:p>
    <w:p w14:paraId="17C20F93">
      <w:pPr>
        <w:pageBreakBefore w:val="0"/>
        <w:kinsoku/>
        <w:wordWrap/>
        <w:overflowPunct/>
        <w:topLinePunct w:val="0"/>
        <w:autoSpaceDE w:val="0"/>
        <w:autoSpaceDN w:val="0"/>
        <w:bidi w:val="0"/>
        <w:adjustRightInd w:val="0"/>
        <w:snapToGrid/>
        <w:spacing w:line="600" w:lineRule="exact"/>
        <w:ind w:firstLine="600"/>
        <w:jc w:val="both"/>
        <w:textAlignment w:val="auto"/>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（二）</w:t>
      </w:r>
      <w:r>
        <w:rPr>
          <w:rFonts w:hint="eastAsia" w:ascii="Times New Roman" w:hAnsi="Times New Roman" w:eastAsia="楷体" w:cs="楷体"/>
          <w:b/>
          <w:bCs/>
          <w:kern w:val="0"/>
          <w:sz w:val="30"/>
          <w:szCs w:val="30"/>
          <w:lang w:val="zh-CN"/>
        </w:rPr>
        <w:t>支出结构</w:t>
      </w:r>
      <w:r>
        <w:rPr>
          <w:rFonts w:hint="eastAsia" w:ascii="Times New Roman" w:hAnsi="Times New Roman" w:eastAsia="楷体" w:cs="楷体"/>
          <w:b/>
          <w:bCs/>
          <w:kern w:val="0"/>
          <w:sz w:val="30"/>
          <w:szCs w:val="30"/>
        </w:rPr>
        <w:t>情况</w:t>
      </w:r>
    </w:p>
    <w:p w14:paraId="19E8F02E">
      <w:pPr>
        <w:pageBreakBefore w:val="0"/>
        <w:kinsoku/>
        <w:wordWrap/>
        <w:overflowPunct/>
        <w:topLinePunct w:val="0"/>
        <w:autoSpaceDE w:val="0"/>
        <w:autoSpaceDN w:val="0"/>
        <w:bidi w:val="0"/>
        <w:adjustRightInd w:val="0"/>
        <w:snapToGrid/>
        <w:spacing w:line="600" w:lineRule="exact"/>
        <w:ind w:firstLine="720"/>
        <w:jc w:val="both"/>
        <w:textAlignment w:val="auto"/>
        <w:rPr>
          <w:rFonts w:ascii="Times New Roman" w:hAnsi="Times New Roman" w:eastAsia="仿宋_GB2312" w:cs="仿宋_GB2312"/>
          <w:sz w:val="30"/>
          <w:szCs w:val="30"/>
        </w:rPr>
      </w:pPr>
      <w:r>
        <w:rPr>
          <w:rFonts w:hint="eastAsia" w:ascii="Times New Roman" w:hAnsi="Times New Roman" w:eastAsia="仿宋_GB2312" w:cs="仿宋_GB2312"/>
          <w:sz w:val="30"/>
          <w:szCs w:val="30"/>
        </w:rPr>
        <w:t>2023年度一般公共预算财政拨款支出</w:t>
      </w:r>
      <w:r>
        <w:rPr>
          <w:rFonts w:hint="eastAsia" w:ascii="Times New Roman" w:hAnsi="Times New Roman" w:eastAsia="仿宋_GB2312" w:cs="Times New Roman"/>
          <w:sz w:val="30"/>
          <w:szCs w:val="30"/>
        </w:rPr>
        <w:t>23,156,793.26</w:t>
      </w:r>
      <w:r>
        <w:rPr>
          <w:rFonts w:hint="eastAsia" w:ascii="Times New Roman" w:hAnsi="Times New Roman" w:eastAsia="仿宋_GB2312" w:cs="仿宋_GB2312"/>
          <w:sz w:val="30"/>
          <w:szCs w:val="30"/>
        </w:rPr>
        <w:t>元，</w:t>
      </w:r>
      <w:r>
        <w:rPr>
          <w:rFonts w:hint="eastAsia" w:ascii="Times New Roman" w:hAnsi="Times New Roman" w:eastAsia="仿宋_GB2312" w:cs="仿宋_GB2312"/>
          <w:kern w:val="0"/>
          <w:sz w:val="30"/>
          <w:szCs w:val="30"/>
        </w:rPr>
        <w:t>主要用于以下方面：</w:t>
      </w:r>
      <w:r>
        <w:rPr>
          <w:rFonts w:hint="eastAsia" w:ascii="Times New Roman" w:hAnsi="Times New Roman" w:eastAsia="仿宋_GB2312" w:cs="仿宋_GB2312"/>
          <w:sz w:val="30"/>
          <w:szCs w:val="30"/>
        </w:rPr>
        <w:t>一般公共服务支出14</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329</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696.48元，占61.88%；社会保障和就业支出1</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701</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624.72元，占7.35%；卫生健康支出935</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032.9</w:t>
      </w:r>
      <w:r>
        <w:rPr>
          <w:rFonts w:ascii="Times New Roman" w:hAnsi="Times New Roman" w:eastAsia="仿宋_GB2312" w:cs="仿宋_GB2312"/>
          <w:sz w:val="30"/>
          <w:szCs w:val="30"/>
        </w:rPr>
        <w:t>0</w:t>
      </w:r>
      <w:r>
        <w:rPr>
          <w:rFonts w:hint="eastAsia" w:ascii="Times New Roman" w:hAnsi="Times New Roman" w:eastAsia="仿宋_GB2312" w:cs="仿宋_GB2312"/>
          <w:sz w:val="30"/>
          <w:szCs w:val="30"/>
        </w:rPr>
        <w:t>元，占4.04%；商业服务业等支出6</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190</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439.16元，占26.73%。</w:t>
      </w:r>
    </w:p>
    <w:p w14:paraId="5997B7A1">
      <w:pPr>
        <w:pageBreakBefore w:val="0"/>
        <w:kinsoku/>
        <w:wordWrap/>
        <w:overflowPunct/>
        <w:topLinePunct w:val="0"/>
        <w:autoSpaceDE w:val="0"/>
        <w:autoSpaceDN w:val="0"/>
        <w:bidi w:val="0"/>
        <w:adjustRightInd w:val="0"/>
        <w:snapToGrid/>
        <w:spacing w:line="600" w:lineRule="exact"/>
        <w:ind w:left="480"/>
        <w:jc w:val="both"/>
        <w:textAlignment w:val="auto"/>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（三）具体情况</w:t>
      </w:r>
    </w:p>
    <w:p w14:paraId="35745B84">
      <w:pPr>
        <w:pageBreakBefore w:val="0"/>
        <w:kinsoku/>
        <w:wordWrap/>
        <w:overflowPunct/>
        <w:topLinePunct w:val="0"/>
        <w:autoSpaceDE w:val="0"/>
        <w:autoSpaceDN w:val="0"/>
        <w:bidi w:val="0"/>
        <w:adjustRightInd w:val="0"/>
        <w:snapToGrid/>
        <w:spacing w:line="600" w:lineRule="exact"/>
        <w:ind w:firstLine="600"/>
        <w:jc w:val="both"/>
        <w:textAlignment w:val="auto"/>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2023年度一般公共预算财政拨款支出年初预算为</w:t>
      </w:r>
      <w:r>
        <w:rPr>
          <w:rFonts w:hint="eastAsia" w:ascii="Times New Roman" w:hAnsi="Times New Roman" w:eastAsia="仿宋_GB2312" w:cs="Times New Roman"/>
          <w:sz w:val="30"/>
          <w:szCs w:val="30"/>
        </w:rPr>
        <w:t>21,555,000.00</w:t>
      </w:r>
      <w:r>
        <w:rPr>
          <w:rFonts w:hint="eastAsia" w:ascii="Times New Roman" w:hAnsi="Times New Roman" w:eastAsia="仿宋_GB2312" w:cs="仿宋_GB2312"/>
          <w:kern w:val="0"/>
          <w:sz w:val="30"/>
          <w:szCs w:val="30"/>
        </w:rPr>
        <w:t>元，支出决算为</w:t>
      </w:r>
      <w:r>
        <w:rPr>
          <w:rFonts w:hint="eastAsia" w:ascii="Times New Roman" w:hAnsi="Times New Roman" w:eastAsia="仿宋_GB2312" w:cs="Times New Roman"/>
          <w:sz w:val="30"/>
          <w:szCs w:val="30"/>
        </w:rPr>
        <w:t>23,156,793.26</w:t>
      </w:r>
      <w:r>
        <w:rPr>
          <w:rFonts w:hint="eastAsia" w:ascii="Times New Roman" w:hAnsi="Times New Roman" w:eastAsia="仿宋_GB2312" w:cs="仿宋_GB2312"/>
          <w:kern w:val="0"/>
          <w:sz w:val="30"/>
          <w:szCs w:val="30"/>
        </w:rPr>
        <w:t>元，完成年初预算的</w:t>
      </w:r>
      <w:r>
        <w:rPr>
          <w:rFonts w:hint="eastAsia" w:ascii="Times New Roman" w:hAnsi="Times New Roman" w:eastAsia="仿宋_GB2312" w:cs="Times New Roman"/>
          <w:sz w:val="30"/>
          <w:szCs w:val="30"/>
        </w:rPr>
        <w:t>107.43%</w:t>
      </w:r>
      <w:r>
        <w:rPr>
          <w:rFonts w:hint="eastAsia" w:ascii="Times New Roman" w:hAnsi="Times New Roman" w:eastAsia="仿宋_GB2312" w:cs="仿宋_GB2312"/>
          <w:kern w:val="0"/>
          <w:sz w:val="30"/>
          <w:szCs w:val="30"/>
        </w:rPr>
        <w:t>。其中：</w:t>
      </w:r>
    </w:p>
    <w:p w14:paraId="3B5F0E44">
      <w:pPr>
        <w:pageBreakBefore w:val="0"/>
        <w:kinsoku/>
        <w:wordWrap/>
        <w:overflowPunct/>
        <w:topLinePunct w:val="0"/>
        <w:autoSpaceDE w:val="0"/>
        <w:autoSpaceDN w:val="0"/>
        <w:bidi w:val="0"/>
        <w:adjustRightInd w:val="0"/>
        <w:snapToGrid/>
        <w:spacing w:line="600" w:lineRule="exact"/>
        <w:ind w:firstLine="720"/>
        <w:jc w:val="both"/>
        <w:textAlignment w:val="auto"/>
        <w:rPr>
          <w:rFonts w:ascii="Times New Roman" w:hAnsi="Times New Roman" w:eastAsia="仿宋_GB2312" w:cs="仿宋_GB2312"/>
          <w:sz w:val="30"/>
          <w:szCs w:val="30"/>
        </w:rPr>
      </w:pPr>
      <w:r>
        <w:rPr>
          <w:rFonts w:hint="eastAsia" w:ascii="Times New Roman" w:hAnsi="Times New Roman" w:eastAsia="仿宋_GB2312" w:cs="仿宋_GB2312"/>
          <w:sz w:val="30"/>
          <w:szCs w:val="30"/>
        </w:rPr>
        <w:t>1.一般公共服务支出（类）商贸事务（款）行政运行（项）年初预算为13</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249</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000</w:t>
      </w:r>
      <w:r>
        <w:rPr>
          <w:rFonts w:ascii="Times New Roman" w:hAnsi="Times New Roman" w:eastAsia="仿宋_GB2312" w:cs="仿宋_GB2312"/>
          <w:sz w:val="30"/>
          <w:szCs w:val="30"/>
        </w:rPr>
        <w:t>.00</w:t>
      </w:r>
      <w:r>
        <w:rPr>
          <w:rFonts w:hint="eastAsia" w:ascii="Times New Roman" w:hAnsi="Times New Roman" w:eastAsia="仿宋_GB2312" w:cs="仿宋_GB2312"/>
          <w:sz w:val="30"/>
          <w:szCs w:val="30"/>
        </w:rPr>
        <w:t>元，支出决算为14</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329</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696.48元，完成年初预算的108.16%，决算数大于年初预算数的主要原因是本级年中增加人员，追加经费。</w:t>
      </w:r>
    </w:p>
    <w:p w14:paraId="1DA0EBA8">
      <w:pPr>
        <w:pageBreakBefore w:val="0"/>
        <w:kinsoku/>
        <w:wordWrap/>
        <w:overflowPunct/>
        <w:topLinePunct w:val="0"/>
        <w:autoSpaceDE w:val="0"/>
        <w:autoSpaceDN w:val="0"/>
        <w:bidi w:val="0"/>
        <w:adjustRightInd w:val="0"/>
        <w:snapToGrid/>
        <w:spacing w:line="600" w:lineRule="exact"/>
        <w:ind w:firstLine="720"/>
        <w:jc w:val="both"/>
        <w:textAlignment w:val="auto"/>
        <w:rPr>
          <w:rFonts w:ascii="Times New Roman" w:hAnsi="Times New Roman" w:eastAsia="仿宋_GB2312" w:cs="仿宋_GB2312"/>
          <w:sz w:val="30"/>
          <w:szCs w:val="30"/>
        </w:rPr>
      </w:pPr>
      <w:r>
        <w:rPr>
          <w:rFonts w:hint="eastAsia" w:ascii="Times New Roman" w:hAnsi="Times New Roman" w:eastAsia="仿宋_GB2312" w:cs="仿宋_GB2312"/>
          <w:sz w:val="30"/>
          <w:szCs w:val="30"/>
        </w:rPr>
        <w:t>2.社会保障和就业支出（类）行政事业单位养老支出（款）机关事业单位基本养老保险缴费支出（项）年初预算为1</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075</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000</w:t>
      </w:r>
      <w:r>
        <w:rPr>
          <w:rFonts w:ascii="Times New Roman" w:hAnsi="Times New Roman" w:eastAsia="仿宋_GB2312" w:cs="仿宋_GB2312"/>
          <w:sz w:val="30"/>
          <w:szCs w:val="30"/>
        </w:rPr>
        <w:t>.00</w:t>
      </w:r>
      <w:r>
        <w:rPr>
          <w:rFonts w:hint="eastAsia" w:ascii="Times New Roman" w:hAnsi="Times New Roman" w:eastAsia="仿宋_GB2312" w:cs="仿宋_GB2312"/>
          <w:sz w:val="30"/>
          <w:szCs w:val="30"/>
        </w:rPr>
        <w:t>元，支出决算为1</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134</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416.48元，完成年初预算的105.53%，决算数大于年初预算数的主要原因是本级年中增加人员，追加经费。</w:t>
      </w:r>
    </w:p>
    <w:p w14:paraId="5B4E8DC1">
      <w:pPr>
        <w:pageBreakBefore w:val="0"/>
        <w:kinsoku/>
        <w:wordWrap/>
        <w:overflowPunct/>
        <w:topLinePunct w:val="0"/>
        <w:autoSpaceDE w:val="0"/>
        <w:autoSpaceDN w:val="0"/>
        <w:bidi w:val="0"/>
        <w:adjustRightInd w:val="0"/>
        <w:snapToGrid/>
        <w:spacing w:line="600" w:lineRule="exact"/>
        <w:ind w:firstLine="720"/>
        <w:jc w:val="both"/>
        <w:textAlignment w:val="auto"/>
        <w:rPr>
          <w:rFonts w:ascii="Times New Roman" w:hAnsi="Times New Roman" w:eastAsia="仿宋_GB2312" w:cs="仿宋_GB2312"/>
          <w:sz w:val="30"/>
          <w:szCs w:val="30"/>
        </w:rPr>
      </w:pPr>
      <w:r>
        <w:rPr>
          <w:rFonts w:hint="eastAsia" w:ascii="Times New Roman" w:hAnsi="Times New Roman" w:eastAsia="仿宋_GB2312" w:cs="仿宋_GB2312"/>
          <w:sz w:val="30"/>
          <w:szCs w:val="30"/>
        </w:rPr>
        <w:t>3.社会保障和就业支出（类）行政事业单位养老支出（款）机关事业单位职业年金缴费支出（项）年初预算为537</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000</w:t>
      </w:r>
      <w:r>
        <w:rPr>
          <w:rFonts w:ascii="Times New Roman" w:hAnsi="Times New Roman" w:eastAsia="仿宋_GB2312" w:cs="仿宋_GB2312"/>
          <w:sz w:val="30"/>
          <w:szCs w:val="30"/>
        </w:rPr>
        <w:t>.00</w:t>
      </w:r>
      <w:r>
        <w:rPr>
          <w:rFonts w:hint="eastAsia" w:ascii="Times New Roman" w:hAnsi="Times New Roman" w:eastAsia="仿宋_GB2312" w:cs="仿宋_GB2312"/>
          <w:sz w:val="30"/>
          <w:szCs w:val="30"/>
        </w:rPr>
        <w:t>元，支出决算为567</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 xml:space="preserve">208.24元，完成年初预算的105.63%，决算数大于年初预算数的主要原因是本级年中增加人员，追加经费。 </w:t>
      </w:r>
    </w:p>
    <w:p w14:paraId="1EDB0146">
      <w:pPr>
        <w:pageBreakBefore w:val="0"/>
        <w:kinsoku/>
        <w:wordWrap/>
        <w:overflowPunct/>
        <w:topLinePunct w:val="0"/>
        <w:autoSpaceDE w:val="0"/>
        <w:autoSpaceDN w:val="0"/>
        <w:bidi w:val="0"/>
        <w:adjustRightInd w:val="0"/>
        <w:snapToGrid/>
        <w:spacing w:line="600" w:lineRule="exact"/>
        <w:ind w:firstLine="720"/>
        <w:jc w:val="both"/>
        <w:textAlignment w:val="auto"/>
        <w:rPr>
          <w:rFonts w:ascii="Times New Roman" w:hAnsi="Times New Roman" w:eastAsia="仿宋_GB2312" w:cs="仿宋_GB2312"/>
          <w:sz w:val="30"/>
          <w:szCs w:val="30"/>
        </w:rPr>
      </w:pPr>
      <w:r>
        <w:rPr>
          <w:rFonts w:hint="eastAsia" w:ascii="Times New Roman" w:hAnsi="Times New Roman" w:eastAsia="仿宋_GB2312" w:cs="仿宋_GB2312"/>
          <w:sz w:val="30"/>
          <w:szCs w:val="30"/>
        </w:rPr>
        <w:t>4.卫生健康支出（类）行政事业单位医疗（款）行政单位医疗（项）年初预算705</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000</w:t>
      </w:r>
      <w:r>
        <w:rPr>
          <w:rFonts w:ascii="Times New Roman" w:hAnsi="Times New Roman" w:eastAsia="仿宋_GB2312" w:cs="仿宋_GB2312"/>
          <w:sz w:val="30"/>
          <w:szCs w:val="30"/>
        </w:rPr>
        <w:t>.00</w:t>
      </w:r>
      <w:r>
        <w:rPr>
          <w:rFonts w:hint="eastAsia" w:ascii="Times New Roman" w:hAnsi="Times New Roman" w:eastAsia="仿宋_GB2312" w:cs="仿宋_GB2312"/>
          <w:sz w:val="30"/>
          <w:szCs w:val="30"/>
        </w:rPr>
        <w:t>元，支出决算为738</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 xml:space="preserve">230.84元，完成年初预算的104.71%，决算数大于年初预算数的主要原因是本级年中增加人员，追加经费。 </w:t>
      </w:r>
    </w:p>
    <w:p w14:paraId="58E3E5F3">
      <w:pPr>
        <w:pageBreakBefore w:val="0"/>
        <w:kinsoku/>
        <w:wordWrap/>
        <w:overflowPunct/>
        <w:topLinePunct w:val="0"/>
        <w:autoSpaceDE w:val="0"/>
        <w:autoSpaceDN w:val="0"/>
        <w:bidi w:val="0"/>
        <w:adjustRightInd w:val="0"/>
        <w:snapToGrid/>
        <w:spacing w:line="600" w:lineRule="exact"/>
        <w:ind w:firstLine="720"/>
        <w:jc w:val="both"/>
        <w:textAlignment w:val="auto"/>
        <w:rPr>
          <w:rFonts w:ascii="Times New Roman" w:hAnsi="Times New Roman" w:eastAsia="仿宋_GB2312" w:cs="仿宋_GB2312"/>
          <w:sz w:val="30"/>
          <w:szCs w:val="30"/>
        </w:rPr>
      </w:pPr>
      <w:r>
        <w:rPr>
          <w:rFonts w:hint="eastAsia" w:ascii="Times New Roman" w:hAnsi="Times New Roman" w:eastAsia="仿宋_GB2312" w:cs="仿宋_GB2312"/>
          <w:sz w:val="30"/>
          <w:szCs w:val="30"/>
        </w:rPr>
        <w:t>5.卫生健康支出（类）行政事业单位医疗（款）公务员医疗补助（项）年初预算134</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000</w:t>
      </w:r>
      <w:r>
        <w:rPr>
          <w:rFonts w:ascii="Times New Roman" w:hAnsi="Times New Roman" w:eastAsia="仿宋_GB2312" w:cs="仿宋_GB2312"/>
          <w:sz w:val="30"/>
          <w:szCs w:val="30"/>
        </w:rPr>
        <w:t>.00</w:t>
      </w:r>
      <w:r>
        <w:rPr>
          <w:rFonts w:hint="eastAsia" w:ascii="Times New Roman" w:hAnsi="Times New Roman" w:eastAsia="仿宋_GB2312" w:cs="仿宋_GB2312"/>
          <w:sz w:val="30"/>
          <w:szCs w:val="30"/>
        </w:rPr>
        <w:t>元，支出决算为141</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802.06元，完成年初预算的105.82%，决算数大于年初预算数的主要原因是本级年中增加人员，追加经费。</w:t>
      </w:r>
    </w:p>
    <w:p w14:paraId="766CDCFD">
      <w:pPr>
        <w:pageBreakBefore w:val="0"/>
        <w:kinsoku/>
        <w:wordWrap/>
        <w:overflowPunct/>
        <w:topLinePunct w:val="0"/>
        <w:autoSpaceDE w:val="0"/>
        <w:autoSpaceDN w:val="0"/>
        <w:bidi w:val="0"/>
        <w:adjustRightInd w:val="0"/>
        <w:snapToGrid/>
        <w:spacing w:line="600" w:lineRule="exact"/>
        <w:ind w:firstLine="720"/>
        <w:jc w:val="both"/>
        <w:textAlignment w:val="auto"/>
        <w:rPr>
          <w:rFonts w:ascii="Times New Roman" w:hAnsi="Times New Roman" w:eastAsia="仿宋_GB2312" w:cs="仿宋_GB2312"/>
          <w:sz w:val="30"/>
          <w:szCs w:val="30"/>
        </w:rPr>
      </w:pPr>
      <w:r>
        <w:rPr>
          <w:rFonts w:hint="eastAsia" w:ascii="Times New Roman" w:hAnsi="Times New Roman" w:eastAsia="仿宋_GB2312" w:cs="仿宋_GB2312"/>
          <w:sz w:val="30"/>
          <w:szCs w:val="30"/>
        </w:rPr>
        <w:t>6.卫生健康支出（类）行政事业单位医疗（款）其他行政事业单位医疗支出（项）年初预算55</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000</w:t>
      </w:r>
      <w:r>
        <w:rPr>
          <w:rFonts w:ascii="Times New Roman" w:hAnsi="Times New Roman" w:eastAsia="仿宋_GB2312" w:cs="仿宋_GB2312"/>
          <w:sz w:val="30"/>
          <w:szCs w:val="30"/>
        </w:rPr>
        <w:t>.00</w:t>
      </w:r>
      <w:r>
        <w:rPr>
          <w:rFonts w:hint="eastAsia" w:ascii="Times New Roman" w:hAnsi="Times New Roman" w:eastAsia="仿宋_GB2312" w:cs="仿宋_GB2312"/>
          <w:sz w:val="30"/>
          <w:szCs w:val="30"/>
        </w:rPr>
        <w:t>元，支出决算为55</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000</w:t>
      </w:r>
      <w:r>
        <w:rPr>
          <w:rFonts w:ascii="Times New Roman" w:hAnsi="Times New Roman" w:eastAsia="仿宋_GB2312" w:cs="仿宋_GB2312"/>
          <w:sz w:val="30"/>
          <w:szCs w:val="30"/>
        </w:rPr>
        <w:t>.00</w:t>
      </w:r>
      <w:r>
        <w:rPr>
          <w:rFonts w:hint="eastAsia" w:ascii="Times New Roman" w:hAnsi="Times New Roman" w:eastAsia="仿宋_GB2312" w:cs="仿宋_GB2312"/>
          <w:sz w:val="30"/>
          <w:szCs w:val="30"/>
        </w:rPr>
        <w:t xml:space="preserve">元，完成年初预算的100%。 </w:t>
      </w:r>
    </w:p>
    <w:p w14:paraId="5C3D05EF">
      <w:pPr>
        <w:pageBreakBefore w:val="0"/>
        <w:kinsoku/>
        <w:wordWrap/>
        <w:overflowPunct/>
        <w:topLinePunct w:val="0"/>
        <w:autoSpaceDE w:val="0"/>
        <w:autoSpaceDN w:val="0"/>
        <w:bidi w:val="0"/>
        <w:adjustRightInd w:val="0"/>
        <w:snapToGrid/>
        <w:spacing w:line="600" w:lineRule="exact"/>
        <w:ind w:firstLine="720"/>
        <w:jc w:val="both"/>
        <w:textAlignment w:val="auto"/>
        <w:rPr>
          <w:rFonts w:ascii="Times New Roman" w:hAnsi="Times New Roman" w:eastAsia="仿宋_GB2312" w:cs="仿宋_GB2312"/>
          <w:sz w:val="30"/>
          <w:szCs w:val="30"/>
        </w:rPr>
      </w:pPr>
      <w:r>
        <w:rPr>
          <w:rFonts w:hint="eastAsia" w:ascii="Times New Roman" w:hAnsi="Times New Roman" w:eastAsia="仿宋_GB2312" w:cs="仿宋_GB2312"/>
          <w:sz w:val="30"/>
          <w:szCs w:val="30"/>
        </w:rPr>
        <w:t>7.商业服务业等支出（类）商业流通事务（款）其他商业流通事务支出（项）年初预算0</w:t>
      </w:r>
      <w:r>
        <w:rPr>
          <w:rFonts w:ascii="Times New Roman" w:hAnsi="Times New Roman" w:eastAsia="仿宋_GB2312" w:cs="仿宋_GB2312"/>
          <w:sz w:val="30"/>
          <w:szCs w:val="30"/>
        </w:rPr>
        <w:t>.00</w:t>
      </w:r>
      <w:r>
        <w:rPr>
          <w:rFonts w:hint="eastAsia" w:ascii="Times New Roman" w:hAnsi="Times New Roman" w:eastAsia="仿宋_GB2312" w:cs="仿宋_GB2312"/>
          <w:sz w:val="30"/>
          <w:szCs w:val="30"/>
        </w:rPr>
        <w:t>元，支出决算为44</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960</w:t>
      </w:r>
      <w:r>
        <w:rPr>
          <w:rFonts w:ascii="Times New Roman" w:hAnsi="Times New Roman" w:eastAsia="仿宋_GB2312" w:cs="仿宋_GB2312"/>
          <w:sz w:val="30"/>
          <w:szCs w:val="30"/>
        </w:rPr>
        <w:t>.00</w:t>
      </w:r>
      <w:r>
        <w:rPr>
          <w:rFonts w:hint="eastAsia" w:ascii="Times New Roman" w:hAnsi="Times New Roman" w:eastAsia="仿宋_GB2312" w:cs="仿宋_GB2312"/>
          <w:sz w:val="30"/>
          <w:szCs w:val="30"/>
        </w:rPr>
        <w:t>元，决算数大于年初预算数的主要原因是商事法律服务中心年中追加退休人员抚恤金项目。</w:t>
      </w:r>
    </w:p>
    <w:p w14:paraId="2DB491FA">
      <w:pPr>
        <w:pageBreakBefore w:val="0"/>
        <w:kinsoku/>
        <w:wordWrap/>
        <w:overflowPunct/>
        <w:topLinePunct w:val="0"/>
        <w:autoSpaceDE w:val="0"/>
        <w:autoSpaceDN w:val="0"/>
        <w:bidi w:val="0"/>
        <w:adjustRightInd w:val="0"/>
        <w:snapToGrid/>
        <w:spacing w:line="600" w:lineRule="exact"/>
        <w:ind w:firstLine="720"/>
        <w:jc w:val="both"/>
        <w:textAlignment w:val="auto"/>
        <w:rPr>
          <w:rFonts w:ascii="Times New Roman" w:hAnsi="Times New Roman" w:eastAsia="黑体" w:cs="黑体"/>
          <w:b/>
          <w:bCs/>
          <w:kern w:val="0"/>
          <w:sz w:val="30"/>
          <w:szCs w:val="30"/>
        </w:rPr>
      </w:pPr>
      <w:r>
        <w:rPr>
          <w:rFonts w:hint="eastAsia" w:ascii="Times New Roman" w:hAnsi="Times New Roman" w:eastAsia="仿宋_GB2312" w:cs="仿宋_GB2312"/>
          <w:sz w:val="30"/>
          <w:szCs w:val="30"/>
        </w:rPr>
        <w:t>8.商业服务业等支出（类）涉外发展服务支出（款）其他涉外发展服务支出（项）年初预算5</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800</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000</w:t>
      </w:r>
      <w:r>
        <w:rPr>
          <w:rFonts w:ascii="Times New Roman" w:hAnsi="Times New Roman" w:eastAsia="仿宋_GB2312" w:cs="仿宋_GB2312"/>
          <w:sz w:val="30"/>
          <w:szCs w:val="30"/>
        </w:rPr>
        <w:t>.00</w:t>
      </w:r>
      <w:r>
        <w:rPr>
          <w:rFonts w:hint="eastAsia" w:ascii="Times New Roman" w:hAnsi="Times New Roman" w:eastAsia="仿宋_GB2312" w:cs="仿宋_GB2312"/>
          <w:sz w:val="30"/>
          <w:szCs w:val="30"/>
        </w:rPr>
        <w:t>元，支出决算为6</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145</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479.16元，完成年初预算的105.96%，决算数大于年初预算数的主要原因是：本级增加信息化项目支出。</w:t>
      </w:r>
    </w:p>
    <w:p w14:paraId="683F56DD">
      <w:pPr>
        <w:keepNext/>
        <w:keepLines/>
        <w:pageBreakBefore w:val="0"/>
        <w:kinsoku/>
        <w:wordWrap/>
        <w:overflowPunct/>
        <w:topLinePunct w:val="0"/>
        <w:autoSpaceDE w:val="0"/>
        <w:autoSpaceDN w:val="0"/>
        <w:bidi w:val="0"/>
        <w:adjustRightInd w:val="0"/>
        <w:snapToGrid/>
        <w:spacing w:line="600" w:lineRule="exact"/>
        <w:ind w:firstLine="602"/>
        <w:jc w:val="both"/>
        <w:textAlignment w:val="auto"/>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六、一般公共预算财政拨款基本支出决算情况说明</w:t>
      </w:r>
    </w:p>
    <w:p w14:paraId="20E59C0C">
      <w:pPr>
        <w:pageBreakBefore w:val="0"/>
        <w:kinsoku/>
        <w:wordWrap/>
        <w:overflowPunct/>
        <w:topLinePunct w:val="0"/>
        <w:autoSpaceDE w:val="0"/>
        <w:autoSpaceDN w:val="0"/>
        <w:bidi w:val="0"/>
        <w:adjustRightInd w:val="0"/>
        <w:snapToGrid/>
        <w:spacing w:line="600" w:lineRule="exact"/>
        <w:ind w:firstLine="600" w:firstLineChars="200"/>
        <w:jc w:val="both"/>
        <w:textAlignment w:val="auto"/>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中国国际贸易促进委员会天津市分会</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年度部门决算一般公共预算财政拨款基本支出合计</w:t>
      </w:r>
      <w:r>
        <w:rPr>
          <w:rFonts w:hint="eastAsia" w:ascii="Times New Roman" w:hAnsi="Times New Roman" w:eastAsia="仿宋_GB2312" w:cs="Times New Roman"/>
          <w:sz w:val="30"/>
          <w:szCs w:val="30"/>
        </w:rPr>
        <w:t>16,966,354.10</w:t>
      </w:r>
      <w:r>
        <w:rPr>
          <w:rFonts w:hint="eastAsia" w:ascii="Times New Roman" w:hAnsi="Times New Roman" w:eastAsia="仿宋_GB2312" w:cs="仿宋_GB2312"/>
          <w:sz w:val="30"/>
          <w:szCs w:val="30"/>
        </w:rPr>
        <w:t>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年度相比增加1,991,192.77元，</w:t>
      </w:r>
      <w:r>
        <w:rPr>
          <w:rFonts w:hint="eastAsia" w:ascii="Times New Roman" w:hAnsi="Times New Roman" w:eastAsia="仿宋_GB2312" w:cs="仿宋_GB2312"/>
          <w:kern w:val="0"/>
          <w:sz w:val="30"/>
          <w:szCs w:val="30"/>
        </w:rPr>
        <w:t>主要原因是</w:t>
      </w:r>
      <w:r>
        <w:rPr>
          <w:rFonts w:hint="eastAsia" w:ascii="Times New Roman" w:hAnsi="Times New Roman" w:eastAsia="楷体_GB2312" w:cs="楷体_GB2312"/>
          <w:sz w:val="30"/>
          <w:szCs w:val="30"/>
        </w:rPr>
        <w:t>：</w:t>
      </w:r>
      <w:r>
        <w:rPr>
          <w:rFonts w:hint="eastAsia" w:ascii="Times New Roman" w:hAnsi="Times New Roman" w:eastAsia="仿宋_GB2312" w:cs="仿宋_GB2312"/>
          <w:sz w:val="30"/>
          <w:szCs w:val="30"/>
        </w:rPr>
        <w:t>本级增加人员导致日常开支增加，疫情过后恢复赴境外参加展览、经贸交流活动等；新增决算单位1家。</w:t>
      </w:r>
      <w:r>
        <w:rPr>
          <w:rFonts w:hint="eastAsia" w:ascii="Times New Roman" w:hAnsi="Times New Roman" w:eastAsia="仿宋_GB2312" w:cs="仿宋_GB2312"/>
          <w:kern w:val="0"/>
          <w:sz w:val="30"/>
          <w:szCs w:val="30"/>
        </w:rPr>
        <w:t>其中：</w:t>
      </w:r>
    </w:p>
    <w:p w14:paraId="364E0B01">
      <w:pPr>
        <w:pageBreakBefore w:val="0"/>
        <w:kinsoku/>
        <w:wordWrap/>
        <w:overflowPunct/>
        <w:topLinePunct w:val="0"/>
        <w:autoSpaceDE w:val="0"/>
        <w:autoSpaceDN w:val="0"/>
        <w:bidi w:val="0"/>
        <w:adjustRightInd w:val="0"/>
        <w:snapToGrid/>
        <w:spacing w:line="600" w:lineRule="exact"/>
        <w:ind w:firstLine="600" w:firstLineChars="200"/>
        <w:jc w:val="both"/>
        <w:textAlignment w:val="auto"/>
        <w:rPr>
          <w:rFonts w:ascii="Times New Roman" w:hAnsi="Times New Roman" w:eastAsia="黑体" w:cs="黑体"/>
          <w:b/>
          <w:bCs/>
          <w:kern w:val="0"/>
          <w:sz w:val="30"/>
          <w:szCs w:val="30"/>
        </w:rPr>
      </w:pPr>
      <w:r>
        <w:rPr>
          <w:rFonts w:hint="eastAsia" w:ascii="Times New Roman" w:hAnsi="Times New Roman" w:eastAsia="仿宋_GB2312" w:cs="仿宋_GB2312"/>
          <w:kern w:val="0"/>
          <w:sz w:val="30"/>
          <w:szCs w:val="30"/>
        </w:rPr>
        <w:t>人员经费</w:t>
      </w:r>
      <w:r>
        <w:rPr>
          <w:rFonts w:hint="eastAsia" w:ascii="Times New Roman" w:hAnsi="Times New Roman" w:eastAsia="仿宋_GB2312" w:cs="Times New Roman"/>
          <w:sz w:val="30"/>
          <w:szCs w:val="30"/>
        </w:rPr>
        <w:t>15,022,638.76</w:t>
      </w:r>
      <w:r>
        <w:rPr>
          <w:rFonts w:hint="eastAsia" w:ascii="Times New Roman" w:hAnsi="Times New Roman" w:eastAsia="仿宋_GB2312" w:cs="仿宋_GB2312"/>
          <w:kern w:val="0"/>
          <w:sz w:val="30"/>
          <w:szCs w:val="30"/>
        </w:rPr>
        <w:t>元，主要包括</w:t>
      </w:r>
      <w:r>
        <w:rPr>
          <w:rFonts w:hint="eastAsia" w:ascii="Times New Roman" w:hAnsi="Times New Roman" w:eastAsia="仿宋_GB2312" w:cs="仿宋_GB2312"/>
          <w:sz w:val="30"/>
          <w:szCs w:val="30"/>
        </w:rPr>
        <w:t>基本工资、津贴补贴、奖金、机关事业单位基本养老保险缴费、职业年金缴费、职工基本医疗保险缴费、公务员医疗补助缴费、其他社会保障缴费、住房公积金、其他工资福利支出、退休费、医疗费补助。</w:t>
      </w:r>
    </w:p>
    <w:p w14:paraId="4CA6B24E">
      <w:pPr>
        <w:pageBreakBefore w:val="0"/>
        <w:kinsoku/>
        <w:wordWrap/>
        <w:overflowPunct/>
        <w:topLinePunct w:val="0"/>
        <w:autoSpaceDE w:val="0"/>
        <w:autoSpaceDN w:val="0"/>
        <w:bidi w:val="0"/>
        <w:adjustRightInd w:val="0"/>
        <w:snapToGrid/>
        <w:spacing w:line="600" w:lineRule="exact"/>
        <w:ind w:firstLine="600" w:firstLineChars="200"/>
        <w:jc w:val="both"/>
        <w:textAlignment w:val="auto"/>
        <w:rPr>
          <w:rFonts w:ascii="Times New Roman" w:hAnsi="Times New Roman" w:eastAsia="黑体" w:cs="黑体"/>
          <w:b/>
          <w:bCs/>
          <w:kern w:val="0"/>
          <w:sz w:val="30"/>
          <w:szCs w:val="30"/>
        </w:rPr>
      </w:pPr>
      <w:r>
        <w:rPr>
          <w:rFonts w:hint="eastAsia" w:ascii="Times New Roman" w:hAnsi="Times New Roman" w:eastAsia="仿宋_GB2312" w:cs="仿宋_GB2312"/>
          <w:kern w:val="0"/>
          <w:sz w:val="30"/>
          <w:szCs w:val="30"/>
        </w:rPr>
        <w:t>公用经费</w:t>
      </w:r>
      <w:r>
        <w:rPr>
          <w:rFonts w:hint="eastAsia" w:ascii="Times New Roman" w:hAnsi="Times New Roman" w:eastAsia="仿宋_GB2312" w:cs="Times New Roman"/>
          <w:sz w:val="30"/>
          <w:szCs w:val="30"/>
        </w:rPr>
        <w:t>1,943,715.34</w:t>
      </w:r>
      <w:r>
        <w:rPr>
          <w:rFonts w:hint="eastAsia" w:ascii="Times New Roman" w:hAnsi="Times New Roman" w:eastAsia="仿宋_GB2312" w:cs="仿宋_GB2312"/>
          <w:kern w:val="0"/>
          <w:sz w:val="30"/>
          <w:szCs w:val="30"/>
        </w:rPr>
        <w:t>元，主要包括</w:t>
      </w:r>
      <w:r>
        <w:rPr>
          <w:rFonts w:hint="eastAsia" w:ascii="仿宋_GB2312" w:hAnsi="Times New Roman" w:eastAsia="仿宋_GB2312" w:cs="仿宋_GB2312"/>
          <w:sz w:val="30"/>
          <w:szCs w:val="30"/>
        </w:rPr>
        <w:t>办公费、印刷费、手续费、水费、电费、邮电费、取暖费、物业管理费、差旅费、维修</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护</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费、租赁费、培训费、公务接待费、劳务费、工会经费、福利费、公务用车运行维护费、其他交通费用、税金及附加费用、其他商品和服务支出、办公设备购置</w:t>
      </w:r>
      <w:r>
        <w:rPr>
          <w:rFonts w:hint="eastAsia" w:ascii="Times New Roman" w:hAnsi="Times New Roman" w:eastAsia="仿宋_GB2312" w:cs="仿宋_GB2312"/>
          <w:sz w:val="30"/>
          <w:szCs w:val="30"/>
        </w:rPr>
        <w:t>。</w:t>
      </w:r>
    </w:p>
    <w:p w14:paraId="298E1E1B">
      <w:pPr>
        <w:keepNext/>
        <w:keepLines/>
        <w:pageBreakBefore w:val="0"/>
        <w:kinsoku/>
        <w:wordWrap/>
        <w:overflowPunct/>
        <w:topLinePunct w:val="0"/>
        <w:autoSpaceDE w:val="0"/>
        <w:autoSpaceDN w:val="0"/>
        <w:bidi w:val="0"/>
        <w:adjustRightInd w:val="0"/>
        <w:snapToGrid/>
        <w:spacing w:line="600" w:lineRule="exact"/>
        <w:ind w:firstLine="602"/>
        <w:jc w:val="both"/>
        <w:textAlignment w:val="auto"/>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七、政府性基金预算财政拨款收支决算情况</w:t>
      </w:r>
    </w:p>
    <w:p w14:paraId="3C7F69DF">
      <w:pPr>
        <w:pageBreakBefore w:val="0"/>
        <w:kinsoku/>
        <w:wordWrap/>
        <w:overflowPunct/>
        <w:topLinePunct w:val="0"/>
        <w:autoSpaceDE w:val="0"/>
        <w:autoSpaceDN w:val="0"/>
        <w:bidi w:val="0"/>
        <w:adjustRightInd w:val="0"/>
        <w:snapToGrid/>
        <w:spacing w:line="600" w:lineRule="exact"/>
        <w:ind w:firstLine="600"/>
        <w:jc w:val="both"/>
        <w:textAlignment w:val="auto"/>
        <w:rPr>
          <w:rFonts w:ascii="Times New Roman" w:hAnsi="Times New Roman" w:eastAsia="楷体" w:cs="楷体"/>
          <w:kern w:val="0"/>
          <w:sz w:val="30"/>
          <w:szCs w:val="30"/>
        </w:rPr>
      </w:pPr>
      <w:r>
        <w:rPr>
          <w:rFonts w:hint="eastAsia" w:ascii="Times New Roman" w:hAnsi="Times New Roman" w:eastAsia="仿宋_GB2312" w:cs="仿宋_GB2312"/>
          <w:sz w:val="30"/>
          <w:szCs w:val="30"/>
        </w:rPr>
        <w:t>中国国际贸易促进委员会天津市分会2023年度无政府性基金预算财政拨款收入、支出和结转结余。</w:t>
      </w:r>
      <w:r>
        <w:rPr>
          <w:rFonts w:hint="eastAsia" w:ascii="Times New Roman" w:hAnsi="Times New Roman" w:eastAsia="仿宋_GB2312" w:cs="仿宋_GB2312"/>
          <w:sz w:val="30"/>
          <w:szCs w:val="30"/>
        </w:rPr>
        <w:tab/>
      </w:r>
    </w:p>
    <w:p w14:paraId="1C5086D9">
      <w:pPr>
        <w:pageBreakBefore w:val="0"/>
        <w:kinsoku/>
        <w:wordWrap/>
        <w:overflowPunct/>
        <w:topLinePunct w:val="0"/>
        <w:autoSpaceDE w:val="0"/>
        <w:autoSpaceDN w:val="0"/>
        <w:bidi w:val="0"/>
        <w:adjustRightInd w:val="0"/>
        <w:snapToGrid/>
        <w:spacing w:line="600" w:lineRule="exact"/>
        <w:ind w:firstLine="600"/>
        <w:jc w:val="both"/>
        <w:textAlignment w:val="auto"/>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八、国有资本经营预算财政拨款收支决算情况说明</w:t>
      </w:r>
    </w:p>
    <w:p w14:paraId="03065A8E">
      <w:pPr>
        <w:keepNext/>
        <w:keepLines/>
        <w:pageBreakBefore w:val="0"/>
        <w:kinsoku/>
        <w:wordWrap/>
        <w:overflowPunct/>
        <w:topLinePunct w:val="0"/>
        <w:autoSpaceDE w:val="0"/>
        <w:autoSpaceDN w:val="0"/>
        <w:bidi w:val="0"/>
        <w:adjustRightInd w:val="0"/>
        <w:snapToGrid/>
        <w:spacing w:line="600" w:lineRule="exact"/>
        <w:ind w:firstLine="602"/>
        <w:jc w:val="both"/>
        <w:textAlignment w:val="auto"/>
        <w:outlineLvl w:val="1"/>
        <w:rPr>
          <w:rFonts w:ascii="Times New Roman" w:hAnsi="Times New Roman" w:eastAsia="仿宋_GB2312" w:cs="仿宋_GB2312"/>
          <w:sz w:val="30"/>
          <w:szCs w:val="30"/>
        </w:rPr>
      </w:pPr>
      <w:r>
        <w:rPr>
          <w:rFonts w:hint="eastAsia" w:ascii="Times New Roman" w:hAnsi="Times New Roman" w:eastAsia="仿宋_GB2312" w:cs="仿宋_GB2312"/>
          <w:sz w:val="30"/>
          <w:szCs w:val="30"/>
        </w:rPr>
        <w:t>中国国际贸易促进委员会天津市分会2023年度无国有资本经营预算财政拨款收入、支出和结转结余。</w:t>
      </w:r>
    </w:p>
    <w:p w14:paraId="663DDE9E">
      <w:pPr>
        <w:keepNext/>
        <w:keepLines/>
        <w:pageBreakBefore w:val="0"/>
        <w:kinsoku/>
        <w:wordWrap/>
        <w:overflowPunct/>
        <w:topLinePunct w:val="0"/>
        <w:autoSpaceDE w:val="0"/>
        <w:autoSpaceDN w:val="0"/>
        <w:bidi w:val="0"/>
        <w:adjustRightInd w:val="0"/>
        <w:snapToGrid/>
        <w:spacing w:line="600" w:lineRule="exact"/>
        <w:ind w:firstLine="602"/>
        <w:jc w:val="both"/>
        <w:textAlignment w:val="auto"/>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九、财政拨款</w:t>
      </w:r>
      <w:r>
        <w:rPr>
          <w:rFonts w:ascii="Times New Roman" w:hAnsi="Times New Roman" w:eastAsia="黑体" w:cs="黑体"/>
          <w:b/>
          <w:bCs/>
          <w:kern w:val="0"/>
          <w:sz w:val="30"/>
          <w:szCs w:val="30"/>
        </w:rPr>
        <w:t>“</w:t>
      </w:r>
      <w:r>
        <w:rPr>
          <w:rFonts w:hint="eastAsia" w:ascii="Times New Roman" w:hAnsi="Times New Roman" w:eastAsia="黑体" w:cs="黑体"/>
          <w:b/>
          <w:bCs/>
          <w:kern w:val="0"/>
          <w:sz w:val="30"/>
          <w:szCs w:val="30"/>
        </w:rPr>
        <w:t>三公</w:t>
      </w:r>
      <w:r>
        <w:rPr>
          <w:rFonts w:ascii="Times New Roman" w:hAnsi="Times New Roman" w:eastAsia="黑体" w:cs="黑体"/>
          <w:b/>
          <w:bCs/>
          <w:kern w:val="0"/>
          <w:sz w:val="30"/>
          <w:szCs w:val="30"/>
        </w:rPr>
        <w:t>”</w:t>
      </w:r>
      <w:r>
        <w:rPr>
          <w:rFonts w:hint="eastAsia" w:ascii="Times New Roman" w:hAnsi="Times New Roman" w:eastAsia="黑体" w:cs="黑体"/>
          <w:b/>
          <w:bCs/>
          <w:kern w:val="0"/>
          <w:sz w:val="30"/>
          <w:szCs w:val="30"/>
        </w:rPr>
        <w:t>经费</w:t>
      </w:r>
      <w:r>
        <w:rPr>
          <w:rFonts w:hint="eastAsia" w:ascii="Times New Roman" w:hAnsi="Times New Roman" w:eastAsia="黑体" w:cs="黑体"/>
          <w:b/>
          <w:bCs/>
          <w:kern w:val="0"/>
          <w:sz w:val="30"/>
          <w:szCs w:val="30"/>
          <w:lang w:val="zh-CN"/>
        </w:rPr>
        <w:t>支出决算</w:t>
      </w:r>
      <w:r>
        <w:rPr>
          <w:rFonts w:hint="eastAsia" w:ascii="Times New Roman" w:hAnsi="Times New Roman" w:eastAsia="黑体" w:cs="黑体"/>
          <w:b/>
          <w:bCs/>
          <w:kern w:val="0"/>
          <w:sz w:val="30"/>
          <w:szCs w:val="30"/>
        </w:rPr>
        <w:t>情况</w:t>
      </w:r>
    </w:p>
    <w:p w14:paraId="573B07D7">
      <w:pPr>
        <w:pageBreakBefore w:val="0"/>
        <w:kinsoku/>
        <w:wordWrap/>
        <w:overflowPunct/>
        <w:topLinePunct w:val="0"/>
        <w:autoSpaceDE w:val="0"/>
        <w:autoSpaceDN w:val="0"/>
        <w:bidi w:val="0"/>
        <w:adjustRightInd w:val="0"/>
        <w:snapToGrid/>
        <w:spacing w:line="600" w:lineRule="exact"/>
        <w:ind w:firstLine="602"/>
        <w:jc w:val="both"/>
        <w:textAlignment w:val="auto"/>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（一）总体情况</w:t>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p>
    <w:p w14:paraId="2ACD1FBD">
      <w:pPr>
        <w:pageBreakBefore w:val="0"/>
        <w:kinsoku/>
        <w:wordWrap/>
        <w:overflowPunct/>
        <w:topLinePunct w:val="0"/>
        <w:autoSpaceDE w:val="0"/>
        <w:autoSpaceDN w:val="0"/>
        <w:bidi w:val="0"/>
        <w:adjustRightInd w:val="0"/>
        <w:snapToGrid/>
        <w:spacing w:line="600" w:lineRule="exact"/>
        <w:ind w:firstLine="600"/>
        <w:jc w:val="both"/>
        <w:textAlignment w:val="auto"/>
        <w:rPr>
          <w:rFonts w:ascii="Times New Roman" w:hAnsi="Times New Roman" w:eastAsia="仿宋_GB2312" w:cs="Times New Roman"/>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3年财政拨款</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经费预算</w:t>
      </w:r>
      <w:r>
        <w:rPr>
          <w:rFonts w:hint="eastAsia" w:ascii="Times New Roman" w:hAnsi="Times New Roman" w:eastAsia="仿宋_GB2312" w:cs="Times New Roman"/>
          <w:kern w:val="0"/>
          <w:sz w:val="30"/>
          <w:szCs w:val="30"/>
        </w:rPr>
        <w:t>392,600.00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384,575.84</w:t>
      </w:r>
      <w:r>
        <w:rPr>
          <w:rFonts w:hint="eastAsia" w:ascii="Times New Roman" w:hAnsi="Times New Roman" w:eastAsia="仿宋_GB2312" w:cs="仿宋_GB2312"/>
          <w:kern w:val="0"/>
          <w:sz w:val="30"/>
          <w:szCs w:val="30"/>
        </w:rPr>
        <w:t>元，与</w:t>
      </w: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3年预算相比减少</w:t>
      </w:r>
      <w:r>
        <w:rPr>
          <w:rFonts w:hint="eastAsia" w:ascii="Times New Roman" w:hAnsi="Times New Roman" w:eastAsia="仿宋_GB2312" w:cs="Times New Roman"/>
          <w:kern w:val="0"/>
          <w:sz w:val="30"/>
          <w:szCs w:val="30"/>
        </w:rPr>
        <w:t>8,024.16</w:t>
      </w:r>
      <w:r>
        <w:rPr>
          <w:rFonts w:hint="eastAsia" w:ascii="Times New Roman" w:hAnsi="Times New Roman" w:eastAsia="仿宋_GB2312" w:cs="仿宋_GB2312"/>
          <w:kern w:val="0"/>
          <w:sz w:val="30"/>
          <w:szCs w:val="30"/>
        </w:rPr>
        <w:t>元，完成预算的97.96</w:t>
      </w:r>
      <w:r>
        <w:rPr>
          <w:rFonts w:hint="eastAsia" w:ascii="Times New Roman" w:hAnsi="Times New Roman" w:eastAsia="仿宋_GB2312" w:cs="仿宋_GB2312"/>
          <w:sz w:val="30"/>
          <w:szCs w:val="30"/>
        </w:rPr>
        <w:t>%</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增加</w:t>
      </w:r>
      <w:r>
        <w:rPr>
          <w:rFonts w:hint="eastAsia" w:ascii="Times New Roman" w:hAnsi="Times New Roman" w:eastAsia="仿宋_GB2312" w:cs="仿宋_GB2312"/>
          <w:kern w:val="0"/>
          <w:sz w:val="30"/>
          <w:szCs w:val="30"/>
        </w:rPr>
        <w:t>253,010.84元，</w:t>
      </w:r>
      <w:r>
        <w:rPr>
          <w:rFonts w:hint="eastAsia" w:ascii="Times New Roman" w:hAnsi="Times New Roman" w:eastAsia="仿宋_GB2312" w:cs="仿宋_GB2312"/>
          <w:sz w:val="30"/>
          <w:szCs w:val="30"/>
        </w:rPr>
        <w:t>增长</w:t>
      </w:r>
      <w:r>
        <w:rPr>
          <w:rFonts w:hint="eastAsia" w:ascii="Times New Roman" w:hAnsi="Times New Roman" w:eastAsia="仿宋_GB2312" w:cs="仿宋_GB2312"/>
          <w:kern w:val="0"/>
          <w:sz w:val="30"/>
          <w:szCs w:val="30"/>
        </w:rPr>
        <w:t>192.31</w:t>
      </w:r>
      <w:r>
        <w:rPr>
          <w:rFonts w:hint="eastAsia" w:ascii="Times New Roman" w:hAnsi="Times New Roman" w:eastAsia="仿宋_GB2312" w:cs="Times New Roman"/>
          <w:sz w:val="30"/>
          <w:szCs w:val="30"/>
        </w:rPr>
        <w:t>%</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小于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厉行节约，严控</w:t>
      </w:r>
      <w:r>
        <w:rPr>
          <w:rFonts w:hint="eastAsia" w:ascii="Times New Roman" w:hAnsi="Times New Roman" w:eastAsia="仿宋_GB2312" w:cs="仿宋_GB2312"/>
          <w:sz w:val="30"/>
          <w:szCs w:val="30"/>
          <w:lang w:eastAsia="zh-CN"/>
        </w:rPr>
        <w:t>三公</w:t>
      </w:r>
      <w:r>
        <w:rPr>
          <w:rFonts w:hint="eastAsia" w:ascii="Times New Roman" w:hAnsi="Times New Roman" w:eastAsia="仿宋_GB2312" w:cs="仿宋_GB2312"/>
          <w:sz w:val="30"/>
          <w:szCs w:val="30"/>
        </w:rPr>
        <w:t>经费开支</w:t>
      </w:r>
      <w:r>
        <w:rPr>
          <w:rFonts w:hint="eastAsia" w:ascii="Times New Roman" w:hAnsi="Times New Roman" w:eastAsia="仿宋_GB2312" w:cs="仿宋_GB2312"/>
          <w:sz w:val="30"/>
          <w:szCs w:val="30"/>
          <w:lang w:eastAsia="zh-CN"/>
        </w:rPr>
        <w:t>；</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增加</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疫情过后恢复赴境外参加展览、经贸交流活动等。</w:t>
      </w:r>
    </w:p>
    <w:p w14:paraId="0C824827">
      <w:pPr>
        <w:pageBreakBefore w:val="0"/>
        <w:kinsoku/>
        <w:wordWrap/>
        <w:overflowPunct/>
        <w:topLinePunct w:val="0"/>
        <w:autoSpaceDE w:val="0"/>
        <w:autoSpaceDN w:val="0"/>
        <w:bidi w:val="0"/>
        <w:adjustRightInd w:val="0"/>
        <w:snapToGrid/>
        <w:spacing w:line="600" w:lineRule="exact"/>
        <w:ind w:firstLine="602"/>
        <w:jc w:val="both"/>
        <w:textAlignment w:val="auto"/>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（二）具体情况</w:t>
      </w:r>
    </w:p>
    <w:p w14:paraId="4CA12E88">
      <w:pPr>
        <w:pageBreakBefore w:val="0"/>
        <w:kinsoku/>
        <w:wordWrap/>
        <w:overflowPunct/>
        <w:topLinePunct w:val="0"/>
        <w:autoSpaceDE w:val="0"/>
        <w:autoSpaceDN w:val="0"/>
        <w:bidi w:val="0"/>
        <w:adjustRightInd w:val="0"/>
        <w:snapToGrid/>
        <w:spacing w:line="600" w:lineRule="exact"/>
        <w:ind w:firstLine="600"/>
        <w:jc w:val="both"/>
        <w:textAlignment w:val="auto"/>
        <w:rPr>
          <w:rFonts w:ascii="Times New Roman" w:hAnsi="Times New Roman" w:eastAsia="仿宋_GB2312" w:cs="仿宋_GB2312"/>
          <w:sz w:val="30"/>
          <w:szCs w:val="30"/>
          <w:highlight w:val="none"/>
        </w:rPr>
      </w:pPr>
      <w:r>
        <w:rPr>
          <w:rFonts w:ascii="Times New Roman" w:hAnsi="Times New Roman" w:eastAsia="仿宋_GB2312" w:cs="仿宋_GB2312"/>
          <w:kern w:val="0"/>
          <w:sz w:val="30"/>
          <w:szCs w:val="30"/>
          <w:highlight w:val="none"/>
        </w:rPr>
        <w:t>1.</w:t>
      </w:r>
      <w:r>
        <w:rPr>
          <w:rFonts w:hint="eastAsia" w:ascii="Times New Roman" w:hAnsi="Times New Roman" w:eastAsia="仿宋_GB2312" w:cs="仿宋_GB2312"/>
          <w:kern w:val="0"/>
          <w:sz w:val="30"/>
          <w:szCs w:val="30"/>
          <w:highlight w:val="none"/>
        </w:rPr>
        <w:t>因公出国（境）费预算</w:t>
      </w:r>
      <w:r>
        <w:rPr>
          <w:rFonts w:hint="eastAsia" w:ascii="Times New Roman" w:hAnsi="Times New Roman" w:eastAsia="仿宋_GB2312" w:cs="Times New Roman"/>
          <w:kern w:val="0"/>
          <w:sz w:val="30"/>
          <w:szCs w:val="30"/>
          <w:highlight w:val="none"/>
        </w:rPr>
        <w:t>316,600.00</w:t>
      </w:r>
      <w:r>
        <w:rPr>
          <w:rFonts w:hint="eastAsia" w:ascii="Times New Roman" w:hAnsi="Times New Roman" w:eastAsia="仿宋_GB2312" w:cs="仿宋_GB2312"/>
          <w:kern w:val="0"/>
          <w:sz w:val="30"/>
          <w:szCs w:val="30"/>
          <w:highlight w:val="none"/>
        </w:rPr>
        <w:t>元，</w:t>
      </w:r>
      <w:r>
        <w:rPr>
          <w:rFonts w:hint="eastAsia" w:ascii="Times New Roman" w:hAnsi="Times New Roman" w:eastAsia="仿宋_GB2312" w:cs="仿宋_GB2312"/>
          <w:kern w:val="0"/>
          <w:sz w:val="30"/>
          <w:szCs w:val="30"/>
          <w:highlight w:val="none"/>
          <w:lang w:eastAsia="zh-CN"/>
        </w:rPr>
        <w:t>追加预算为</w:t>
      </w:r>
      <w:r>
        <w:rPr>
          <w:rFonts w:hint="eastAsia" w:ascii="Times New Roman" w:hAnsi="Times New Roman" w:eastAsia="仿宋_GB2312" w:cs="仿宋_GB2312"/>
          <w:kern w:val="0"/>
          <w:sz w:val="30"/>
          <w:szCs w:val="30"/>
          <w:highlight w:val="none"/>
          <w:lang w:val="en-US" w:eastAsia="zh-CN"/>
        </w:rPr>
        <w:t>25,772.84元</w:t>
      </w:r>
      <w:r>
        <w:rPr>
          <w:rFonts w:hint="eastAsia" w:ascii="Times New Roman" w:hAnsi="Times New Roman" w:eastAsia="仿宋_GB2312" w:cs="仿宋_GB2312"/>
          <w:kern w:val="0"/>
          <w:sz w:val="30"/>
          <w:szCs w:val="30"/>
          <w:highlight w:val="none"/>
        </w:rPr>
        <w:t>，支出决算</w:t>
      </w:r>
      <w:r>
        <w:rPr>
          <w:rFonts w:hint="eastAsia" w:ascii="Times New Roman" w:hAnsi="Times New Roman" w:eastAsia="仿宋_GB2312" w:cs="Times New Roman"/>
          <w:kern w:val="0"/>
          <w:sz w:val="30"/>
          <w:szCs w:val="30"/>
          <w:highlight w:val="none"/>
        </w:rPr>
        <w:t>342,372.84</w:t>
      </w:r>
      <w:r>
        <w:rPr>
          <w:rFonts w:hint="eastAsia" w:ascii="Times New Roman" w:hAnsi="Times New Roman" w:eastAsia="仿宋_GB2312" w:cs="仿宋_GB2312"/>
          <w:kern w:val="0"/>
          <w:sz w:val="30"/>
          <w:szCs w:val="30"/>
          <w:highlight w:val="none"/>
        </w:rPr>
        <w:t>元，</w:t>
      </w:r>
      <w:r>
        <w:rPr>
          <w:rFonts w:hint="eastAsia" w:ascii="Times New Roman" w:hAnsi="Times New Roman" w:eastAsia="仿宋_GB2312" w:cs="仿宋_GB2312"/>
          <w:kern w:val="0"/>
          <w:sz w:val="30"/>
          <w:szCs w:val="30"/>
          <w:highlight w:val="none"/>
          <w:lang w:eastAsia="zh-CN"/>
        </w:rPr>
        <w:t>决算数等于预算数</w:t>
      </w:r>
      <w:r>
        <w:rPr>
          <w:rFonts w:hint="eastAsia" w:ascii="Times New Roman" w:hAnsi="Times New Roman" w:eastAsia="仿宋_GB2312" w:cs="仿宋_GB2312"/>
          <w:kern w:val="0"/>
          <w:sz w:val="30"/>
          <w:szCs w:val="30"/>
          <w:highlight w:val="none"/>
          <w:lang w:val="en-US" w:eastAsia="zh-CN"/>
        </w:rPr>
        <w:t>，</w:t>
      </w:r>
      <w:r>
        <w:rPr>
          <w:rFonts w:hint="eastAsia" w:ascii="Times New Roman" w:hAnsi="Times New Roman" w:eastAsia="仿宋_GB2312" w:cs="仿宋_GB2312"/>
          <w:kern w:val="0"/>
          <w:sz w:val="30"/>
          <w:szCs w:val="30"/>
          <w:highlight w:val="none"/>
        </w:rPr>
        <w:t>完成预算的10</w:t>
      </w:r>
      <w:r>
        <w:rPr>
          <w:rFonts w:hint="eastAsia" w:ascii="Times New Roman" w:hAnsi="Times New Roman" w:eastAsia="仿宋_GB2312" w:cs="仿宋_GB2312"/>
          <w:kern w:val="0"/>
          <w:sz w:val="30"/>
          <w:szCs w:val="30"/>
          <w:highlight w:val="none"/>
          <w:lang w:val="en-US" w:eastAsia="zh-CN"/>
        </w:rPr>
        <w:t>0.00</w:t>
      </w:r>
      <w:r>
        <w:rPr>
          <w:rFonts w:hint="eastAsia" w:ascii="Times New Roman" w:hAnsi="Times New Roman" w:eastAsia="仿宋_GB2312" w:cs="Times New Roman"/>
          <w:sz w:val="30"/>
          <w:szCs w:val="30"/>
          <w:highlight w:val="none"/>
        </w:rPr>
        <w:t>%</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rPr>
        <w:t>增加</w:t>
      </w:r>
      <w:r>
        <w:rPr>
          <w:rFonts w:hint="eastAsia" w:ascii="Times New Roman" w:hAnsi="Times New Roman" w:eastAsia="仿宋_GB2312" w:cs="仿宋_GB2312"/>
          <w:kern w:val="0"/>
          <w:sz w:val="30"/>
          <w:szCs w:val="30"/>
          <w:highlight w:val="none"/>
        </w:rPr>
        <w:t>239,332.84元，</w:t>
      </w:r>
      <w:r>
        <w:rPr>
          <w:rFonts w:hint="eastAsia" w:ascii="Times New Roman" w:hAnsi="Times New Roman" w:eastAsia="仿宋_GB2312" w:cs="仿宋_GB2312"/>
          <w:sz w:val="30"/>
          <w:szCs w:val="30"/>
          <w:highlight w:val="none"/>
        </w:rPr>
        <w:t>增长</w:t>
      </w:r>
      <w:r>
        <w:rPr>
          <w:rFonts w:hint="eastAsia" w:ascii="Times New Roman" w:hAnsi="Times New Roman" w:eastAsia="仿宋_GB2312" w:cs="仿宋_GB2312"/>
          <w:kern w:val="0"/>
          <w:sz w:val="30"/>
          <w:szCs w:val="30"/>
          <w:highlight w:val="none"/>
        </w:rPr>
        <w:t>232.27</w:t>
      </w:r>
      <w:r>
        <w:rPr>
          <w:rFonts w:hint="eastAsia" w:ascii="Times New Roman" w:hAnsi="Times New Roman" w:eastAsia="仿宋_GB2312" w:cs="Times New Roman"/>
          <w:sz w:val="30"/>
          <w:szCs w:val="30"/>
          <w:highlight w:val="none"/>
        </w:rPr>
        <w:t>%</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w:t>
      </w:r>
      <w:r>
        <w:rPr>
          <w:rFonts w:hint="eastAsia" w:ascii="Times New Roman" w:hAnsi="Times New Roman" w:eastAsia="仿宋_GB2312" w:cs="仿宋_GB2312"/>
          <w:kern w:val="0"/>
          <w:sz w:val="30"/>
          <w:szCs w:val="30"/>
          <w:highlight w:val="none"/>
          <w:lang w:eastAsia="zh-CN"/>
        </w:rPr>
        <w:t>的主要原因是合理安排</w:t>
      </w:r>
      <w:r>
        <w:rPr>
          <w:rFonts w:hint="eastAsia" w:ascii="Times New Roman" w:hAnsi="Times New Roman" w:eastAsia="仿宋_GB2312" w:cs="仿宋_GB2312"/>
          <w:kern w:val="0"/>
          <w:sz w:val="30"/>
          <w:szCs w:val="30"/>
          <w:highlight w:val="none"/>
        </w:rPr>
        <w:t>因公出国（境）费</w:t>
      </w:r>
      <w:r>
        <w:rPr>
          <w:rFonts w:hint="eastAsia" w:ascii="Times New Roman" w:hAnsi="Times New Roman" w:eastAsia="仿宋_GB2312" w:cs="仿宋_GB2312"/>
          <w:kern w:val="0"/>
          <w:sz w:val="30"/>
          <w:szCs w:val="30"/>
          <w:highlight w:val="none"/>
          <w:lang w:eastAsia="zh-CN"/>
        </w:rPr>
        <w:t>支出，严格按照预算执行；决算数较</w:t>
      </w:r>
      <w:r>
        <w:rPr>
          <w:rFonts w:hint="eastAsia" w:ascii="Times New Roman" w:hAnsi="Times New Roman" w:eastAsia="仿宋_GB2312" w:cs="仿宋_GB2312"/>
          <w:kern w:val="0"/>
          <w:sz w:val="30"/>
          <w:szCs w:val="30"/>
          <w:highlight w:val="none"/>
        </w:rPr>
        <w:t>上年</w:t>
      </w:r>
      <w:r>
        <w:rPr>
          <w:rFonts w:hint="eastAsia" w:ascii="Times New Roman" w:hAnsi="Times New Roman" w:eastAsia="仿宋_GB2312" w:cs="仿宋_GB2312"/>
          <w:sz w:val="30"/>
          <w:szCs w:val="30"/>
          <w:highlight w:val="none"/>
        </w:rPr>
        <w:t>增加</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rPr>
        <w:t>疫情过后恢复赴境外参加展览、经贸交流活动等。</w:t>
      </w:r>
    </w:p>
    <w:p w14:paraId="62DA8137">
      <w:pPr>
        <w:pageBreakBefore w:val="0"/>
        <w:kinsoku/>
        <w:wordWrap/>
        <w:overflowPunct/>
        <w:topLinePunct w:val="0"/>
        <w:autoSpaceDE w:val="0"/>
        <w:autoSpaceDN w:val="0"/>
        <w:bidi w:val="0"/>
        <w:adjustRightInd w:val="0"/>
        <w:snapToGrid/>
        <w:spacing w:line="600" w:lineRule="exact"/>
        <w:ind w:firstLine="600"/>
        <w:jc w:val="both"/>
        <w:textAlignment w:val="auto"/>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rPr>
        <w:t>3年本单位组织的出国团组</w:t>
      </w:r>
      <w:r>
        <w:rPr>
          <w:rFonts w:hint="eastAsia" w:ascii="Times New Roman" w:hAnsi="Times New Roman" w:eastAsia="仿宋_GB2312" w:cs="Times New Roman"/>
          <w:kern w:val="0"/>
          <w:sz w:val="30"/>
          <w:szCs w:val="30"/>
          <w:highlight w:val="none"/>
        </w:rPr>
        <w:t>5</w:t>
      </w:r>
      <w:r>
        <w:rPr>
          <w:rFonts w:hint="eastAsia" w:ascii="Times New Roman" w:hAnsi="Times New Roman" w:eastAsia="仿宋_GB2312" w:cs="仿宋_GB2312"/>
          <w:kern w:val="0"/>
          <w:sz w:val="30"/>
          <w:szCs w:val="30"/>
          <w:highlight w:val="none"/>
        </w:rPr>
        <w:t>个，出国</w:t>
      </w:r>
      <w:r>
        <w:rPr>
          <w:rFonts w:hint="eastAsia" w:ascii="Times New Roman" w:hAnsi="Times New Roman" w:eastAsia="仿宋_GB2312" w:cs="Times New Roman"/>
          <w:kern w:val="0"/>
          <w:sz w:val="30"/>
          <w:szCs w:val="30"/>
          <w:highlight w:val="none"/>
        </w:rPr>
        <w:t>8</w:t>
      </w:r>
      <w:r>
        <w:rPr>
          <w:rFonts w:hint="eastAsia" w:ascii="Times New Roman" w:hAnsi="Times New Roman" w:eastAsia="仿宋_GB2312" w:cs="仿宋_GB2312"/>
          <w:kern w:val="0"/>
          <w:sz w:val="30"/>
          <w:szCs w:val="30"/>
          <w:highlight w:val="none"/>
        </w:rPr>
        <w:t>人次。</w:t>
      </w:r>
    </w:p>
    <w:p w14:paraId="34CEC719">
      <w:pPr>
        <w:pageBreakBefore w:val="0"/>
        <w:kinsoku/>
        <w:wordWrap/>
        <w:overflowPunct/>
        <w:topLinePunct w:val="0"/>
        <w:autoSpaceDE w:val="0"/>
        <w:autoSpaceDN w:val="0"/>
        <w:bidi w:val="0"/>
        <w:adjustRightInd w:val="0"/>
        <w:snapToGrid/>
        <w:spacing w:line="600" w:lineRule="exact"/>
        <w:ind w:firstLine="600"/>
        <w:jc w:val="both"/>
        <w:textAlignment w:val="auto"/>
        <w:rPr>
          <w:rFonts w:ascii="Times New Roman" w:hAnsi="Times New Roman" w:eastAsia="仿宋_GB2312" w:cs="Times New Roman"/>
          <w:kern w:val="0"/>
          <w:sz w:val="30"/>
          <w:szCs w:val="30"/>
        </w:rPr>
      </w:pPr>
      <w:r>
        <w:rPr>
          <w:rFonts w:ascii="Times New Roman" w:hAnsi="Times New Roman" w:eastAsia="仿宋_GB2312" w:cs="仿宋_GB2312"/>
          <w:kern w:val="0"/>
          <w:sz w:val="30"/>
          <w:szCs w:val="30"/>
          <w:highlight w:val="none"/>
        </w:rPr>
        <w:t>2.</w:t>
      </w:r>
      <w:r>
        <w:rPr>
          <w:rFonts w:hint="eastAsia" w:ascii="Times New Roman" w:hAnsi="Times New Roman" w:eastAsia="仿宋_GB2312" w:cs="仿宋_GB2312"/>
          <w:kern w:val="0"/>
          <w:sz w:val="30"/>
          <w:szCs w:val="30"/>
          <w:highlight w:val="none"/>
        </w:rPr>
        <w:t>公务用车购置及运行维护费预算</w:t>
      </w:r>
      <w:r>
        <w:rPr>
          <w:rFonts w:hint="eastAsia" w:ascii="Times New Roman" w:hAnsi="Times New Roman" w:eastAsia="仿宋_GB2312" w:cs="Times New Roman"/>
          <w:kern w:val="0"/>
          <w:sz w:val="30"/>
          <w:szCs w:val="30"/>
          <w:highlight w:val="none"/>
        </w:rPr>
        <w:t>26,000.00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rPr>
        <w:t>20,356.00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减少</w:t>
      </w:r>
      <w:r>
        <w:rPr>
          <w:rFonts w:hint="eastAsia" w:ascii="Times New Roman" w:hAnsi="Times New Roman" w:eastAsia="仿宋_GB2312" w:cs="Times New Roman"/>
          <w:kern w:val="0"/>
          <w:sz w:val="30"/>
          <w:szCs w:val="30"/>
        </w:rPr>
        <w:t>5,644.00</w:t>
      </w:r>
      <w:r>
        <w:rPr>
          <w:rFonts w:hint="eastAsia" w:ascii="Times New Roman" w:hAnsi="Times New Roman" w:eastAsia="仿宋_GB2312" w:cs="仿宋_GB2312"/>
          <w:kern w:val="0"/>
          <w:sz w:val="30"/>
          <w:szCs w:val="30"/>
        </w:rPr>
        <w:t>元，完成预算的78.29</w:t>
      </w:r>
      <w:r>
        <w:rPr>
          <w:rFonts w:hint="eastAsia" w:ascii="Times New Roman" w:hAnsi="Times New Roman" w:eastAsia="仿宋_GB2312" w:cs="Times New Roman"/>
          <w:sz w:val="30"/>
          <w:szCs w:val="30"/>
        </w:rPr>
        <w:t>%</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减少</w:t>
      </w:r>
      <w:r>
        <w:rPr>
          <w:rFonts w:hint="eastAsia" w:ascii="Times New Roman" w:hAnsi="Times New Roman" w:eastAsia="仿宋_GB2312" w:cs="仿宋_GB2312"/>
          <w:kern w:val="0"/>
          <w:sz w:val="30"/>
          <w:szCs w:val="30"/>
        </w:rPr>
        <w:t>5,644.00元，</w:t>
      </w:r>
      <w:r>
        <w:rPr>
          <w:rFonts w:hint="eastAsia" w:ascii="Times New Roman" w:hAnsi="Times New Roman" w:eastAsia="仿宋_GB2312" w:cs="仿宋_GB2312"/>
          <w:sz w:val="30"/>
          <w:szCs w:val="30"/>
        </w:rPr>
        <w:t>下降</w:t>
      </w:r>
      <w:r>
        <w:rPr>
          <w:rFonts w:hint="eastAsia" w:ascii="Times New Roman" w:hAnsi="Times New Roman" w:eastAsia="仿宋_GB2312" w:cs="仿宋_GB2312"/>
          <w:kern w:val="0"/>
          <w:sz w:val="30"/>
          <w:szCs w:val="30"/>
        </w:rPr>
        <w:t>21.71</w:t>
      </w:r>
      <w:r>
        <w:rPr>
          <w:rFonts w:hint="eastAsia" w:ascii="Times New Roman" w:hAnsi="Times New Roman" w:eastAsia="仿宋_GB2312" w:cs="Times New Roman"/>
          <w:sz w:val="30"/>
          <w:szCs w:val="30"/>
        </w:rPr>
        <w:t>%</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小于</w:t>
      </w:r>
      <w:r>
        <w:rPr>
          <w:rFonts w:hint="eastAsia" w:ascii="Times New Roman" w:hAnsi="Times New Roman" w:eastAsia="仿宋_GB2312" w:cs="仿宋_GB2312"/>
          <w:kern w:val="0"/>
          <w:sz w:val="30"/>
          <w:szCs w:val="30"/>
        </w:rPr>
        <w:t>预算数且</w:t>
      </w:r>
      <w:r>
        <w:rPr>
          <w:rFonts w:ascii="Times New Roman" w:hAnsi="Times New Roman" w:eastAsia="仿宋_GB2312" w:cs="仿宋_GB2312"/>
          <w:kern w:val="0"/>
          <w:sz w:val="30"/>
          <w:szCs w:val="30"/>
        </w:rPr>
        <w:t>较上年减少</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厉行节约，严控</w:t>
      </w:r>
      <w:r>
        <w:rPr>
          <w:rFonts w:hint="eastAsia" w:ascii="Times New Roman" w:hAnsi="Times New Roman" w:eastAsia="仿宋_GB2312" w:cs="仿宋_GB2312"/>
          <w:kern w:val="0"/>
          <w:sz w:val="30"/>
          <w:szCs w:val="30"/>
        </w:rPr>
        <w:t>公务用车运行维护经费</w:t>
      </w:r>
      <w:r>
        <w:rPr>
          <w:rFonts w:hint="eastAsia" w:ascii="Times New Roman" w:hAnsi="Times New Roman" w:eastAsia="仿宋_GB2312" w:cs="仿宋_GB2312"/>
          <w:sz w:val="30"/>
          <w:szCs w:val="30"/>
        </w:rPr>
        <w:t>开支。</w:t>
      </w:r>
      <w:r>
        <w:rPr>
          <w:rFonts w:hint="eastAsia" w:ascii="Times New Roman" w:hAnsi="Times New Roman" w:eastAsia="仿宋_GB2312" w:cs="仿宋_GB2312"/>
          <w:kern w:val="0"/>
          <w:sz w:val="30"/>
          <w:szCs w:val="30"/>
        </w:rPr>
        <w:t>其中：</w:t>
      </w:r>
    </w:p>
    <w:p w14:paraId="7BF203D7">
      <w:pPr>
        <w:pageBreakBefore w:val="0"/>
        <w:kinsoku/>
        <w:wordWrap/>
        <w:overflowPunct/>
        <w:topLinePunct w:val="0"/>
        <w:autoSpaceDE w:val="0"/>
        <w:autoSpaceDN w:val="0"/>
        <w:bidi w:val="0"/>
        <w:adjustRightInd w:val="0"/>
        <w:snapToGrid/>
        <w:spacing w:line="600" w:lineRule="exact"/>
        <w:ind w:firstLine="600"/>
        <w:jc w:val="both"/>
        <w:textAlignment w:val="auto"/>
        <w:rPr>
          <w:rFonts w:ascii="Times New Roman" w:hAnsi="Times New Roman" w:eastAsia="仿宋_GB2312" w:cs="仿宋_GB2312"/>
          <w:sz w:val="30"/>
          <w:szCs w:val="30"/>
        </w:rPr>
      </w:pPr>
      <w:r>
        <w:rPr>
          <w:rFonts w:hint="eastAsia" w:ascii="Times New Roman" w:hAnsi="Times New Roman" w:eastAsia="仿宋_GB2312" w:cs="仿宋_GB2312"/>
          <w:kern w:val="0"/>
          <w:sz w:val="30"/>
          <w:szCs w:val="30"/>
        </w:rPr>
        <w:t>公务用车运行维护费预算</w:t>
      </w:r>
      <w:r>
        <w:rPr>
          <w:rFonts w:hint="eastAsia" w:ascii="Times New Roman" w:hAnsi="Times New Roman" w:eastAsia="仿宋_GB2312" w:cs="Times New Roman"/>
          <w:kern w:val="0"/>
          <w:sz w:val="30"/>
          <w:szCs w:val="30"/>
        </w:rPr>
        <w:t>26,000.00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20,356.00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减少</w:t>
      </w:r>
      <w:r>
        <w:rPr>
          <w:rFonts w:hint="eastAsia" w:ascii="Times New Roman" w:hAnsi="Times New Roman" w:eastAsia="仿宋_GB2312" w:cs="Times New Roman"/>
          <w:kern w:val="0"/>
          <w:sz w:val="30"/>
          <w:szCs w:val="30"/>
        </w:rPr>
        <w:t>5,644.00</w:t>
      </w:r>
      <w:r>
        <w:rPr>
          <w:rFonts w:hint="eastAsia" w:ascii="Times New Roman" w:hAnsi="Times New Roman" w:eastAsia="仿宋_GB2312" w:cs="仿宋_GB2312"/>
          <w:kern w:val="0"/>
          <w:sz w:val="30"/>
          <w:szCs w:val="30"/>
        </w:rPr>
        <w:t>元，完成预算的78.29</w:t>
      </w:r>
      <w:r>
        <w:rPr>
          <w:rFonts w:hint="eastAsia" w:ascii="Times New Roman" w:hAnsi="Times New Roman" w:eastAsia="仿宋_GB2312" w:cs="Times New Roman"/>
          <w:sz w:val="30"/>
          <w:szCs w:val="30"/>
        </w:rPr>
        <w:t>%</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减少</w:t>
      </w:r>
      <w:r>
        <w:rPr>
          <w:rFonts w:hint="eastAsia" w:ascii="Times New Roman" w:hAnsi="Times New Roman" w:eastAsia="仿宋_GB2312" w:cs="仿宋_GB2312"/>
          <w:kern w:val="0"/>
          <w:sz w:val="30"/>
          <w:szCs w:val="30"/>
        </w:rPr>
        <w:t>5,644.00元，</w:t>
      </w:r>
      <w:r>
        <w:rPr>
          <w:rFonts w:hint="eastAsia" w:ascii="Times New Roman" w:hAnsi="Times New Roman" w:eastAsia="仿宋_GB2312" w:cs="仿宋_GB2312"/>
          <w:sz w:val="30"/>
          <w:szCs w:val="30"/>
        </w:rPr>
        <w:t>下降</w:t>
      </w:r>
      <w:r>
        <w:rPr>
          <w:rFonts w:hint="eastAsia" w:ascii="Times New Roman" w:hAnsi="Times New Roman" w:eastAsia="仿宋_GB2312" w:cs="仿宋_GB2312"/>
          <w:kern w:val="0"/>
          <w:sz w:val="30"/>
          <w:szCs w:val="30"/>
        </w:rPr>
        <w:t>21.71</w:t>
      </w:r>
      <w:r>
        <w:rPr>
          <w:rFonts w:hint="eastAsia" w:ascii="Times New Roman" w:hAnsi="Times New Roman" w:eastAsia="仿宋_GB2312" w:cs="Times New Roman"/>
          <w:sz w:val="30"/>
          <w:szCs w:val="30"/>
        </w:rPr>
        <w:t>%</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小于</w:t>
      </w:r>
      <w:r>
        <w:rPr>
          <w:rFonts w:hint="eastAsia" w:ascii="Times New Roman" w:hAnsi="Times New Roman" w:eastAsia="仿宋_GB2312" w:cs="仿宋_GB2312"/>
          <w:kern w:val="0"/>
          <w:sz w:val="30"/>
          <w:szCs w:val="30"/>
        </w:rPr>
        <w:t>预算数且</w:t>
      </w:r>
      <w:r>
        <w:rPr>
          <w:rFonts w:ascii="Times New Roman" w:hAnsi="Times New Roman" w:eastAsia="仿宋_GB2312" w:cs="仿宋_GB2312"/>
          <w:kern w:val="0"/>
          <w:sz w:val="30"/>
          <w:szCs w:val="30"/>
        </w:rPr>
        <w:t>较上年减少</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厉行节约，严控</w:t>
      </w:r>
      <w:r>
        <w:rPr>
          <w:rFonts w:hint="eastAsia" w:ascii="Times New Roman" w:hAnsi="Times New Roman" w:eastAsia="仿宋_GB2312" w:cs="仿宋_GB2312"/>
          <w:kern w:val="0"/>
          <w:sz w:val="30"/>
          <w:szCs w:val="30"/>
        </w:rPr>
        <w:t>公务用车运行维护经费</w:t>
      </w:r>
      <w:r>
        <w:rPr>
          <w:rFonts w:hint="eastAsia" w:ascii="Times New Roman" w:hAnsi="Times New Roman" w:eastAsia="仿宋_GB2312" w:cs="仿宋_GB2312"/>
          <w:sz w:val="30"/>
          <w:szCs w:val="30"/>
        </w:rPr>
        <w:t>开支</w:t>
      </w:r>
      <w:r>
        <w:rPr>
          <w:rFonts w:hint="eastAsia" w:ascii="Times New Roman" w:hAnsi="Times New Roman" w:eastAsia="仿宋_GB2312" w:cs="仿宋_GB2312"/>
          <w:kern w:val="0"/>
          <w:sz w:val="30"/>
          <w:szCs w:val="30"/>
          <w:lang w:eastAsia="zh-CN"/>
        </w:rPr>
        <w:t>，</w:t>
      </w:r>
      <w:r>
        <w:rPr>
          <w:rFonts w:hint="eastAsia" w:ascii="Times New Roman" w:hAnsi="Times New Roman" w:eastAsia="仿宋_GB2312" w:cs="仿宋_GB2312"/>
          <w:sz w:val="30"/>
          <w:szCs w:val="30"/>
        </w:rPr>
        <w:t>2023年</w:t>
      </w:r>
      <w:r>
        <w:rPr>
          <w:rFonts w:ascii="Times New Roman" w:hAnsi="Times New Roman" w:eastAsia="仿宋_GB2312" w:cs="仿宋_GB2312"/>
          <w:sz w:val="30"/>
          <w:szCs w:val="30"/>
        </w:rPr>
        <w:t>较</w:t>
      </w:r>
      <w:r>
        <w:rPr>
          <w:rFonts w:hint="eastAsia" w:ascii="Times New Roman" w:hAnsi="Times New Roman" w:eastAsia="仿宋_GB2312" w:cs="仿宋_GB2312"/>
          <w:sz w:val="30"/>
          <w:szCs w:val="30"/>
        </w:rPr>
        <w:t>2022年</w:t>
      </w:r>
      <w:r>
        <w:rPr>
          <w:rFonts w:ascii="Times New Roman" w:hAnsi="Times New Roman" w:eastAsia="仿宋_GB2312" w:cs="仿宋_GB2312"/>
          <w:sz w:val="30"/>
          <w:szCs w:val="30"/>
        </w:rPr>
        <w:t>油费支出减少</w:t>
      </w:r>
      <w:r>
        <w:rPr>
          <w:rFonts w:hint="eastAsia" w:ascii="Times New Roman" w:hAnsi="Times New Roman" w:eastAsia="仿宋_GB2312" w:cs="仿宋_GB2312"/>
          <w:sz w:val="30"/>
          <w:szCs w:val="30"/>
        </w:rPr>
        <w:t>。</w:t>
      </w:r>
    </w:p>
    <w:p w14:paraId="5F596BDF">
      <w:pPr>
        <w:pageBreakBefore w:val="0"/>
        <w:kinsoku/>
        <w:wordWrap/>
        <w:overflowPunct/>
        <w:topLinePunct w:val="0"/>
        <w:autoSpaceDE w:val="0"/>
        <w:autoSpaceDN w:val="0"/>
        <w:bidi w:val="0"/>
        <w:adjustRightInd w:val="0"/>
        <w:snapToGrid/>
        <w:spacing w:line="600" w:lineRule="exact"/>
        <w:ind w:firstLine="600"/>
        <w:jc w:val="both"/>
        <w:textAlignment w:val="auto"/>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截至</w:t>
      </w: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w:t>
      </w:r>
      <w:r>
        <w:rPr>
          <w:rFonts w:ascii="Times New Roman" w:hAnsi="Times New Roman" w:eastAsia="仿宋_GB2312" w:cs="仿宋_GB2312"/>
          <w:kern w:val="0"/>
          <w:sz w:val="30"/>
          <w:szCs w:val="30"/>
        </w:rPr>
        <w:t>12</w:t>
      </w:r>
      <w:r>
        <w:rPr>
          <w:rFonts w:hint="eastAsia" w:ascii="Times New Roman" w:hAnsi="Times New Roman" w:eastAsia="仿宋_GB2312" w:cs="仿宋_GB2312"/>
          <w:kern w:val="0"/>
          <w:sz w:val="30"/>
          <w:szCs w:val="30"/>
        </w:rPr>
        <w:t>月</w:t>
      </w:r>
      <w:r>
        <w:rPr>
          <w:rFonts w:ascii="Times New Roman" w:hAnsi="Times New Roman" w:eastAsia="仿宋_GB2312" w:cs="仿宋_GB2312"/>
          <w:kern w:val="0"/>
          <w:sz w:val="30"/>
          <w:szCs w:val="30"/>
        </w:rPr>
        <w:t>31</w:t>
      </w:r>
      <w:r>
        <w:rPr>
          <w:rFonts w:hint="eastAsia" w:ascii="Times New Roman" w:hAnsi="Times New Roman" w:eastAsia="仿宋_GB2312" w:cs="仿宋_GB2312"/>
          <w:kern w:val="0"/>
          <w:sz w:val="30"/>
          <w:szCs w:val="30"/>
        </w:rPr>
        <w:t>日，使用财政拨款开支运行维护费的公务用车保有量为</w:t>
      </w:r>
      <w:r>
        <w:rPr>
          <w:rFonts w:hint="eastAsia" w:ascii="Times New Roman" w:hAnsi="Times New Roman" w:eastAsia="仿宋_GB2312" w:cs="Times New Roman"/>
          <w:kern w:val="0"/>
          <w:sz w:val="30"/>
          <w:szCs w:val="30"/>
        </w:rPr>
        <w:t>2</w:t>
      </w:r>
      <w:r>
        <w:rPr>
          <w:rFonts w:hint="eastAsia" w:ascii="Times New Roman" w:hAnsi="Times New Roman" w:eastAsia="仿宋_GB2312" w:cs="仿宋_GB2312"/>
          <w:kern w:val="0"/>
          <w:sz w:val="30"/>
          <w:szCs w:val="30"/>
        </w:rPr>
        <w:t>辆。</w:t>
      </w:r>
    </w:p>
    <w:p w14:paraId="031048E4">
      <w:pPr>
        <w:pageBreakBefore w:val="0"/>
        <w:kinsoku/>
        <w:wordWrap/>
        <w:overflowPunct/>
        <w:topLinePunct w:val="0"/>
        <w:autoSpaceDE w:val="0"/>
        <w:autoSpaceDN w:val="0"/>
        <w:bidi w:val="0"/>
        <w:adjustRightInd w:val="0"/>
        <w:snapToGrid/>
        <w:spacing w:line="600" w:lineRule="exact"/>
        <w:ind w:firstLine="600"/>
        <w:jc w:val="both"/>
        <w:textAlignment w:val="auto"/>
        <w:rPr>
          <w:rFonts w:ascii="Times New Roman" w:hAnsi="Times New Roman" w:eastAsia="仿宋_GB2312" w:cs="仿宋_GB2312"/>
          <w:sz w:val="30"/>
          <w:szCs w:val="30"/>
        </w:rPr>
      </w:pPr>
      <w:r>
        <w:rPr>
          <w:rFonts w:hint="eastAsia" w:ascii="Times New Roman" w:hAnsi="Times New Roman" w:eastAsia="仿宋_GB2312" w:cs="仿宋_GB2312"/>
          <w:kern w:val="0"/>
          <w:sz w:val="30"/>
          <w:szCs w:val="30"/>
        </w:rPr>
        <w:t>公务用车购置费预算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预算数且较</w:t>
      </w:r>
      <w:r>
        <w:rPr>
          <w:rFonts w:ascii="Times New Roman" w:hAnsi="Times New Roman" w:eastAsia="仿宋_GB2312" w:cs="仿宋_GB2312"/>
          <w:kern w:val="0"/>
          <w:sz w:val="30"/>
          <w:szCs w:val="30"/>
        </w:rPr>
        <w:t>上年</w:t>
      </w:r>
      <w:r>
        <w:rPr>
          <w:rFonts w:hint="eastAsia" w:ascii="Times New Roman" w:hAnsi="Times New Roman" w:eastAsia="仿宋_GB2312" w:cs="仿宋_GB2312"/>
          <w:kern w:val="0"/>
          <w:sz w:val="30"/>
          <w:szCs w:val="30"/>
        </w:rPr>
        <w:t>持平的主要原因是：</w:t>
      </w:r>
      <w:r>
        <w:rPr>
          <w:rFonts w:hint="eastAsia" w:ascii="Times New Roman" w:hAnsi="Times New Roman" w:eastAsia="仿宋_GB2312" w:cs="仿宋_GB2312"/>
          <w:sz w:val="30"/>
          <w:szCs w:val="30"/>
        </w:rPr>
        <w:t>本年度未用财政拨款经费列支公务用车购置费。</w:t>
      </w:r>
    </w:p>
    <w:p w14:paraId="112DE112">
      <w:pPr>
        <w:pageBreakBefore w:val="0"/>
        <w:kinsoku/>
        <w:wordWrap/>
        <w:overflowPunct/>
        <w:topLinePunct w:val="0"/>
        <w:autoSpaceDE w:val="0"/>
        <w:autoSpaceDN w:val="0"/>
        <w:bidi w:val="0"/>
        <w:adjustRightInd w:val="0"/>
        <w:snapToGrid/>
        <w:spacing w:line="600" w:lineRule="exact"/>
        <w:ind w:firstLine="600"/>
        <w:jc w:val="both"/>
        <w:textAlignment w:val="auto"/>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3年购置公务用车</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辆。</w:t>
      </w:r>
    </w:p>
    <w:p w14:paraId="35CA9377">
      <w:pPr>
        <w:pageBreakBefore w:val="0"/>
        <w:kinsoku/>
        <w:wordWrap/>
        <w:overflowPunct/>
        <w:topLinePunct w:val="0"/>
        <w:autoSpaceDE w:val="0"/>
        <w:autoSpaceDN w:val="0"/>
        <w:bidi w:val="0"/>
        <w:adjustRightInd w:val="0"/>
        <w:snapToGrid/>
        <w:spacing w:line="600" w:lineRule="exact"/>
        <w:ind w:firstLine="645"/>
        <w:jc w:val="both"/>
        <w:textAlignment w:val="auto"/>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3.</w:t>
      </w:r>
      <w:r>
        <w:rPr>
          <w:rFonts w:hint="eastAsia" w:ascii="Times New Roman" w:hAnsi="Times New Roman" w:eastAsia="仿宋_GB2312" w:cs="仿宋_GB2312"/>
          <w:kern w:val="0"/>
          <w:sz w:val="30"/>
          <w:szCs w:val="30"/>
        </w:rPr>
        <w:t>公务接待费预算</w:t>
      </w:r>
      <w:r>
        <w:rPr>
          <w:rFonts w:hint="eastAsia" w:ascii="Times New Roman" w:hAnsi="Times New Roman" w:eastAsia="仿宋_GB2312" w:cs="Times New Roman"/>
          <w:kern w:val="0"/>
          <w:sz w:val="30"/>
          <w:szCs w:val="30"/>
        </w:rPr>
        <w:t>50,000.00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21,847.00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减少</w:t>
      </w:r>
      <w:r>
        <w:rPr>
          <w:rFonts w:hint="eastAsia" w:ascii="Times New Roman" w:hAnsi="Times New Roman" w:eastAsia="仿宋_GB2312" w:cs="Times New Roman"/>
          <w:kern w:val="0"/>
          <w:sz w:val="30"/>
          <w:szCs w:val="30"/>
        </w:rPr>
        <w:t>28,153.00</w:t>
      </w:r>
      <w:r>
        <w:rPr>
          <w:rFonts w:hint="eastAsia" w:ascii="Times New Roman" w:hAnsi="Times New Roman" w:eastAsia="仿宋_GB2312" w:cs="仿宋_GB2312"/>
          <w:kern w:val="0"/>
          <w:sz w:val="30"/>
          <w:szCs w:val="30"/>
        </w:rPr>
        <w:t>元，完成预算的43.69</w:t>
      </w:r>
      <w:r>
        <w:rPr>
          <w:rFonts w:hint="eastAsia" w:ascii="Times New Roman" w:hAnsi="Times New Roman" w:eastAsia="仿宋_GB2312" w:cs="Times New Roman"/>
          <w:sz w:val="30"/>
          <w:szCs w:val="30"/>
        </w:rPr>
        <w:t>%</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增加</w:t>
      </w:r>
      <w:r>
        <w:rPr>
          <w:rFonts w:hint="eastAsia" w:ascii="Times New Roman" w:hAnsi="Times New Roman" w:eastAsia="仿宋_GB2312" w:cs="仿宋_GB2312"/>
          <w:kern w:val="0"/>
          <w:sz w:val="30"/>
          <w:szCs w:val="30"/>
        </w:rPr>
        <w:t>19,322.00元，</w:t>
      </w:r>
      <w:r>
        <w:rPr>
          <w:rFonts w:hint="eastAsia" w:ascii="Times New Roman" w:hAnsi="Times New Roman" w:eastAsia="仿宋_GB2312" w:cs="仿宋_GB2312"/>
          <w:sz w:val="30"/>
          <w:szCs w:val="30"/>
        </w:rPr>
        <w:t>增长</w:t>
      </w:r>
      <w:r>
        <w:rPr>
          <w:rFonts w:hint="eastAsia" w:ascii="Times New Roman" w:hAnsi="Times New Roman" w:eastAsia="仿宋_GB2312" w:cs="仿宋_GB2312"/>
          <w:kern w:val="0"/>
          <w:sz w:val="30"/>
          <w:szCs w:val="30"/>
        </w:rPr>
        <w:t>765.23</w:t>
      </w:r>
      <w:r>
        <w:rPr>
          <w:rFonts w:hint="eastAsia" w:ascii="Times New Roman" w:hAnsi="Times New Roman" w:eastAsia="仿宋_GB2312" w:cs="Times New Roman"/>
          <w:sz w:val="30"/>
          <w:szCs w:val="30"/>
        </w:rPr>
        <w:t>%</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小于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厉行节约，严控公务</w:t>
      </w:r>
      <w:r>
        <w:rPr>
          <w:rFonts w:ascii="Times New Roman" w:hAnsi="Times New Roman" w:eastAsia="仿宋_GB2312" w:cs="仿宋_GB2312"/>
          <w:sz w:val="30"/>
          <w:szCs w:val="30"/>
        </w:rPr>
        <w:t>接待</w:t>
      </w:r>
      <w:r>
        <w:rPr>
          <w:rFonts w:hint="eastAsia" w:ascii="Times New Roman" w:hAnsi="Times New Roman" w:eastAsia="仿宋_GB2312" w:cs="仿宋_GB2312"/>
          <w:sz w:val="30"/>
          <w:szCs w:val="30"/>
        </w:rPr>
        <w:t>经费开支。</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增加</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疫情过后恢复国内国际交流。</w:t>
      </w:r>
    </w:p>
    <w:p w14:paraId="2C140373">
      <w:pPr>
        <w:pageBreakBefore w:val="0"/>
        <w:kinsoku/>
        <w:wordWrap/>
        <w:overflowPunct/>
        <w:topLinePunct w:val="0"/>
        <w:autoSpaceDE w:val="0"/>
        <w:autoSpaceDN w:val="0"/>
        <w:bidi w:val="0"/>
        <w:adjustRightInd w:val="0"/>
        <w:snapToGrid/>
        <w:spacing w:line="600" w:lineRule="exact"/>
        <w:ind w:firstLine="645"/>
        <w:jc w:val="both"/>
        <w:textAlignment w:val="auto"/>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3年本单位国内公务接待</w:t>
      </w:r>
      <w:r>
        <w:rPr>
          <w:rFonts w:hint="eastAsia" w:ascii="Times New Roman" w:hAnsi="Times New Roman" w:eastAsia="仿宋_GB2312" w:cs="Times New Roman"/>
          <w:kern w:val="0"/>
          <w:sz w:val="30"/>
          <w:szCs w:val="30"/>
        </w:rPr>
        <w:t>16</w:t>
      </w:r>
      <w:r>
        <w:rPr>
          <w:rFonts w:hint="eastAsia" w:ascii="Times New Roman" w:hAnsi="Times New Roman" w:eastAsia="仿宋_GB2312" w:cs="仿宋_GB2312"/>
          <w:kern w:val="0"/>
          <w:sz w:val="30"/>
          <w:szCs w:val="30"/>
        </w:rPr>
        <w:t>批次，</w:t>
      </w:r>
      <w:r>
        <w:rPr>
          <w:rFonts w:hint="eastAsia" w:ascii="Times New Roman" w:hAnsi="Times New Roman" w:eastAsia="仿宋_GB2312" w:cs="Times New Roman"/>
          <w:kern w:val="0"/>
          <w:sz w:val="30"/>
          <w:szCs w:val="30"/>
        </w:rPr>
        <w:t>144</w:t>
      </w:r>
      <w:r>
        <w:rPr>
          <w:rFonts w:hint="eastAsia" w:ascii="Times New Roman" w:hAnsi="Times New Roman" w:eastAsia="仿宋_GB2312" w:cs="仿宋_GB2312"/>
          <w:kern w:val="0"/>
          <w:sz w:val="30"/>
          <w:szCs w:val="30"/>
        </w:rPr>
        <w:t>人次；其中，外事接待</w:t>
      </w:r>
      <w:r>
        <w:rPr>
          <w:rFonts w:hint="eastAsia" w:ascii="Times New Roman" w:hAnsi="Times New Roman" w:eastAsia="仿宋_GB2312" w:cs="Times New Roman"/>
          <w:kern w:val="0"/>
          <w:sz w:val="30"/>
          <w:szCs w:val="30"/>
        </w:rPr>
        <w:t>4</w:t>
      </w:r>
      <w:r>
        <w:rPr>
          <w:rFonts w:hint="eastAsia" w:ascii="Times New Roman" w:hAnsi="Times New Roman" w:eastAsia="仿宋_GB2312" w:cs="仿宋_GB2312"/>
          <w:kern w:val="0"/>
          <w:sz w:val="30"/>
          <w:szCs w:val="30"/>
        </w:rPr>
        <w:t>批次，</w:t>
      </w:r>
      <w:r>
        <w:rPr>
          <w:rFonts w:hint="eastAsia" w:ascii="Times New Roman" w:hAnsi="Times New Roman" w:eastAsia="仿宋_GB2312" w:cs="Times New Roman"/>
          <w:kern w:val="0"/>
          <w:sz w:val="30"/>
          <w:szCs w:val="30"/>
        </w:rPr>
        <w:t>40</w:t>
      </w:r>
      <w:r>
        <w:rPr>
          <w:rFonts w:hint="eastAsia" w:ascii="Times New Roman" w:hAnsi="Times New Roman" w:eastAsia="仿宋_GB2312" w:cs="仿宋_GB2312"/>
          <w:kern w:val="0"/>
          <w:sz w:val="30"/>
          <w:szCs w:val="30"/>
        </w:rPr>
        <w:t>人次。</w:t>
      </w:r>
    </w:p>
    <w:p w14:paraId="57BA8508">
      <w:pPr>
        <w:keepNext/>
        <w:keepLines/>
        <w:pageBreakBefore w:val="0"/>
        <w:kinsoku/>
        <w:wordWrap/>
        <w:overflowPunct/>
        <w:topLinePunct w:val="0"/>
        <w:autoSpaceDE w:val="0"/>
        <w:autoSpaceDN w:val="0"/>
        <w:bidi w:val="0"/>
        <w:adjustRightInd w:val="0"/>
        <w:snapToGrid/>
        <w:spacing w:line="600" w:lineRule="exact"/>
        <w:ind w:firstLine="602"/>
        <w:jc w:val="both"/>
        <w:textAlignment w:val="auto"/>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十、机关运行经费支出情况说明</w:t>
      </w:r>
    </w:p>
    <w:p w14:paraId="3434229B">
      <w:pPr>
        <w:pageBreakBefore w:val="0"/>
        <w:kinsoku/>
        <w:wordWrap/>
        <w:overflowPunct/>
        <w:topLinePunct w:val="0"/>
        <w:autoSpaceDE w:val="0"/>
        <w:autoSpaceDN w:val="0"/>
        <w:bidi w:val="0"/>
        <w:adjustRightInd w:val="0"/>
        <w:snapToGrid/>
        <w:spacing w:line="600" w:lineRule="exact"/>
        <w:ind w:firstLine="600"/>
        <w:jc w:val="both"/>
        <w:textAlignment w:val="auto"/>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机关运行经费是指行政单位和参照公务员法管理的事业单位使用一般公共预算财政拨款安排的基本支出中的日常公用经费支出，</w:t>
      </w:r>
      <w:r>
        <w:rPr>
          <w:rFonts w:hint="eastAsia" w:ascii="Times New Roman" w:hAnsi="Times New Roman" w:eastAsia="仿宋_GB2312" w:cs="Times New Roman"/>
          <w:kern w:val="0"/>
          <w:sz w:val="30"/>
          <w:szCs w:val="30"/>
        </w:rPr>
        <w:t>中国国际贸易促进委员会天津市分会</w:t>
      </w:r>
      <w:r>
        <w:rPr>
          <w:rFonts w:hint="eastAsia" w:ascii="Times New Roman" w:hAnsi="Times New Roman" w:eastAsia="宋体" w:cs="宋体"/>
          <w:kern w:val="0"/>
          <w:sz w:val="30"/>
          <w:szCs w:val="30"/>
        </w:rPr>
        <w:t>2023</w:t>
      </w:r>
      <w:r>
        <w:rPr>
          <w:rFonts w:hint="eastAsia" w:ascii="Times New Roman" w:hAnsi="Times New Roman" w:eastAsia="仿宋_GB2312" w:cs="仿宋_GB2312"/>
          <w:kern w:val="0"/>
          <w:sz w:val="30"/>
          <w:szCs w:val="30"/>
        </w:rPr>
        <w:t>年度机关运行经费决算数</w:t>
      </w:r>
      <w:r>
        <w:rPr>
          <w:rFonts w:hint="eastAsia" w:ascii="Times New Roman" w:hAnsi="Times New Roman" w:eastAsia="仿宋_GB2312" w:cs="Times New Roman"/>
          <w:kern w:val="0"/>
          <w:sz w:val="30"/>
          <w:szCs w:val="30"/>
        </w:rPr>
        <w:t>1,919,715.34</w:t>
      </w:r>
      <w:r>
        <w:rPr>
          <w:rFonts w:hint="eastAsia" w:ascii="Times New Roman" w:hAnsi="Times New Roman" w:eastAsia="仿宋_GB2312" w:cs="仿宋_GB2312"/>
          <w:kern w:val="0"/>
          <w:sz w:val="30"/>
          <w:szCs w:val="30"/>
        </w:rPr>
        <w:t>元，比</w:t>
      </w:r>
      <w:r>
        <w:rPr>
          <w:rFonts w:hint="eastAsia" w:ascii="Times New Roman" w:hAnsi="Times New Roman" w:eastAsia="仿宋_GB2312" w:cs="Times New Roman"/>
          <w:kern w:val="0"/>
          <w:sz w:val="30"/>
          <w:szCs w:val="30"/>
        </w:rPr>
        <w:t>2022</w:t>
      </w:r>
      <w:r>
        <w:rPr>
          <w:rFonts w:hint="eastAsia" w:ascii="Times New Roman" w:hAnsi="Times New Roman" w:eastAsia="仿宋_GB2312" w:cs="仿宋_GB2312"/>
          <w:kern w:val="0"/>
          <w:sz w:val="30"/>
          <w:szCs w:val="30"/>
        </w:rPr>
        <w:t>年增加225,414.60元，增长13.3</w:t>
      </w:r>
      <w:r>
        <w:rPr>
          <w:rFonts w:hint="eastAsia" w:ascii="Times New Roman" w:hAnsi="Times New Roman" w:eastAsia="仿宋_GB2312" w:cs="Times New Roman"/>
          <w:kern w:val="0"/>
          <w:sz w:val="30"/>
          <w:szCs w:val="30"/>
        </w:rPr>
        <w:t>%</w:t>
      </w:r>
      <w:r>
        <w:rPr>
          <w:rFonts w:hint="eastAsia" w:ascii="Times New Roman" w:hAnsi="Times New Roman" w:eastAsia="仿宋_GB2312" w:cs="仿宋_GB2312"/>
          <w:kern w:val="0"/>
          <w:sz w:val="30"/>
          <w:szCs w:val="30"/>
        </w:rPr>
        <w:t>。主要原因是：</w:t>
      </w:r>
      <w:r>
        <w:rPr>
          <w:rFonts w:hint="eastAsia" w:ascii="Times New Roman" w:hAnsi="Times New Roman" w:eastAsia="仿宋_GB2312" w:cs="仿宋_GB2312"/>
          <w:sz w:val="30"/>
          <w:szCs w:val="30"/>
        </w:rPr>
        <w:t>本级增加人员导致日常开支增加，疫情过后恢复赴境外参加展览、经贸交流活动等。</w:t>
      </w:r>
    </w:p>
    <w:p w14:paraId="54B81DE3">
      <w:pPr>
        <w:keepNext/>
        <w:keepLines/>
        <w:pageBreakBefore w:val="0"/>
        <w:kinsoku/>
        <w:wordWrap/>
        <w:overflowPunct/>
        <w:topLinePunct w:val="0"/>
        <w:autoSpaceDE w:val="0"/>
        <w:autoSpaceDN w:val="0"/>
        <w:bidi w:val="0"/>
        <w:adjustRightInd w:val="0"/>
        <w:snapToGrid/>
        <w:spacing w:line="600" w:lineRule="exact"/>
        <w:ind w:firstLine="602"/>
        <w:jc w:val="both"/>
        <w:textAlignment w:val="auto"/>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十一、政府采购支出情况说明</w:t>
      </w:r>
    </w:p>
    <w:p w14:paraId="3FA655D3">
      <w:pPr>
        <w:pageBreakBefore w:val="0"/>
        <w:kinsoku/>
        <w:wordWrap/>
        <w:overflowPunct/>
        <w:topLinePunct w:val="0"/>
        <w:autoSpaceDE w:val="0"/>
        <w:autoSpaceDN w:val="0"/>
        <w:bidi w:val="0"/>
        <w:adjustRightInd w:val="0"/>
        <w:snapToGrid/>
        <w:spacing w:line="600" w:lineRule="exact"/>
        <w:ind w:firstLine="600"/>
        <w:jc w:val="both"/>
        <w:textAlignment w:val="auto"/>
        <w:rPr>
          <w:rFonts w:ascii="Times New Roman" w:hAnsi="Times New Roman" w:eastAsia="楷体" w:cs="Times New Roman"/>
          <w:kern w:val="0"/>
          <w:sz w:val="30"/>
          <w:szCs w:val="30"/>
        </w:rPr>
      </w:pPr>
      <w:r>
        <w:rPr>
          <w:rFonts w:hint="eastAsia" w:ascii="Times New Roman" w:hAnsi="Times New Roman" w:eastAsia="仿宋_GB2312" w:cs="仿宋_GB2312"/>
          <w:color w:val="000000"/>
          <w:kern w:val="0"/>
          <w:sz w:val="30"/>
          <w:szCs w:val="30"/>
        </w:rPr>
        <w:t>中国国际贸易促进委员会天津市分会</w:t>
      </w:r>
      <w:r>
        <w:rPr>
          <w:rFonts w:hint="eastAsia" w:ascii="Times New Roman" w:hAnsi="Times New Roman" w:eastAsia="宋体" w:cs="宋体"/>
          <w:color w:val="000000"/>
          <w:kern w:val="0"/>
          <w:sz w:val="30"/>
          <w:szCs w:val="30"/>
        </w:rPr>
        <w:t>2023</w:t>
      </w:r>
      <w:r>
        <w:rPr>
          <w:rFonts w:hint="eastAsia" w:ascii="Times New Roman" w:hAnsi="Times New Roman" w:eastAsia="仿宋_GB2312" w:cs="仿宋_GB2312"/>
          <w:color w:val="000000"/>
          <w:kern w:val="0"/>
          <w:sz w:val="30"/>
          <w:szCs w:val="30"/>
        </w:rPr>
        <w:t>年</w:t>
      </w:r>
      <w:r>
        <w:rPr>
          <w:rFonts w:hint="eastAsia" w:ascii="Times New Roman" w:hAnsi="Times New Roman" w:eastAsia="仿宋_GB2312" w:cs="仿宋_GB2312"/>
          <w:sz w:val="30"/>
          <w:szCs w:val="30"/>
        </w:rPr>
        <w:t>政府</w:t>
      </w:r>
      <w:r>
        <w:rPr>
          <w:rFonts w:hint="eastAsia" w:ascii="Times New Roman" w:hAnsi="Times New Roman" w:eastAsia="仿宋_GB2312" w:cs="仿宋_GB2312"/>
          <w:color w:val="000000"/>
          <w:kern w:val="0"/>
          <w:sz w:val="30"/>
          <w:szCs w:val="30"/>
        </w:rPr>
        <w:t>采购支出总额</w:t>
      </w:r>
      <w:r>
        <w:rPr>
          <w:rFonts w:hint="eastAsia" w:ascii="Times New Roman" w:hAnsi="Times New Roman" w:eastAsia="仿宋_GB2312" w:cs="Times New Roman"/>
          <w:kern w:val="0"/>
          <w:sz w:val="30"/>
          <w:szCs w:val="30"/>
        </w:rPr>
        <w:t>3,572,225.00</w:t>
      </w:r>
      <w:r>
        <w:rPr>
          <w:rFonts w:hint="eastAsia" w:ascii="Times New Roman" w:hAnsi="Times New Roman" w:eastAsia="仿宋_GB2312" w:cs="仿宋_GB2312"/>
          <w:color w:val="000000"/>
          <w:kern w:val="0"/>
          <w:sz w:val="30"/>
          <w:szCs w:val="30"/>
        </w:rPr>
        <w:t>元，其中：政府采购货物支出</w:t>
      </w:r>
      <w:r>
        <w:rPr>
          <w:rFonts w:hint="eastAsia" w:ascii="Times New Roman" w:hAnsi="Times New Roman" w:eastAsia="仿宋_GB2312" w:cs="Times New Roman"/>
          <w:kern w:val="0"/>
          <w:sz w:val="30"/>
          <w:szCs w:val="30"/>
        </w:rPr>
        <w:t>15,225.00</w:t>
      </w:r>
      <w:r>
        <w:rPr>
          <w:rFonts w:hint="eastAsia" w:ascii="Times New Roman" w:hAnsi="Times New Roman" w:eastAsia="仿宋_GB2312" w:cs="仿宋_GB2312"/>
          <w:color w:val="000000"/>
          <w:kern w:val="0"/>
          <w:sz w:val="30"/>
          <w:szCs w:val="30"/>
        </w:rPr>
        <w:t>元、政府采购工程支出</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color w:val="000000"/>
          <w:kern w:val="0"/>
          <w:sz w:val="30"/>
          <w:szCs w:val="30"/>
        </w:rPr>
        <w:t>元、政府采购服务支出</w:t>
      </w:r>
      <w:r>
        <w:rPr>
          <w:rFonts w:hint="eastAsia" w:ascii="Times New Roman" w:hAnsi="Times New Roman" w:eastAsia="仿宋_GB2312" w:cs="Times New Roman"/>
          <w:kern w:val="0"/>
          <w:sz w:val="30"/>
          <w:szCs w:val="30"/>
        </w:rPr>
        <w:t>3,557,000.00</w:t>
      </w:r>
      <w:r>
        <w:rPr>
          <w:rFonts w:hint="eastAsia" w:ascii="Times New Roman" w:hAnsi="Times New Roman" w:eastAsia="仿宋_GB2312" w:cs="仿宋_GB2312"/>
          <w:color w:val="000000"/>
          <w:kern w:val="0"/>
          <w:sz w:val="30"/>
          <w:szCs w:val="30"/>
        </w:rPr>
        <w:t>元。授予中小企业合同金额</w:t>
      </w:r>
      <w:r>
        <w:rPr>
          <w:rFonts w:hint="eastAsia" w:ascii="Times New Roman" w:hAnsi="Times New Roman" w:eastAsia="仿宋_GB2312" w:cs="Times New Roman"/>
          <w:kern w:val="0"/>
          <w:sz w:val="30"/>
          <w:szCs w:val="30"/>
        </w:rPr>
        <w:t>15,225.00</w:t>
      </w:r>
      <w:r>
        <w:rPr>
          <w:rFonts w:hint="eastAsia" w:ascii="Times New Roman" w:hAnsi="Times New Roman" w:eastAsia="仿宋_GB2312" w:cs="仿宋_GB2312"/>
          <w:color w:val="000000"/>
          <w:kern w:val="0"/>
          <w:sz w:val="30"/>
          <w:szCs w:val="30"/>
        </w:rPr>
        <w:t>元，占政府采购支出总额的</w:t>
      </w:r>
      <w:r>
        <w:rPr>
          <w:rFonts w:hint="eastAsia" w:ascii="Times New Roman" w:hAnsi="Times New Roman" w:eastAsia="仿宋_GB2312" w:cs="Times New Roman"/>
          <w:kern w:val="0"/>
          <w:sz w:val="30"/>
          <w:szCs w:val="30"/>
        </w:rPr>
        <w:t>0.43%</w:t>
      </w:r>
      <w:r>
        <w:rPr>
          <w:rFonts w:hint="eastAsia" w:ascii="Times New Roman" w:hAnsi="Times New Roman" w:eastAsia="仿宋_GB2312" w:cs="仿宋_GB2312"/>
          <w:color w:val="000000"/>
          <w:kern w:val="0"/>
          <w:sz w:val="30"/>
          <w:szCs w:val="30"/>
        </w:rPr>
        <w:t>，其中：授予小微企业合同金额</w:t>
      </w:r>
      <w:r>
        <w:rPr>
          <w:rFonts w:hint="eastAsia" w:ascii="Times New Roman" w:hAnsi="Times New Roman" w:eastAsia="仿宋_GB2312" w:cs="Times New Roman"/>
          <w:kern w:val="0"/>
          <w:sz w:val="30"/>
          <w:szCs w:val="30"/>
        </w:rPr>
        <w:t>15,225.00</w:t>
      </w:r>
      <w:r>
        <w:rPr>
          <w:rFonts w:hint="eastAsia" w:ascii="Times New Roman" w:hAnsi="Times New Roman" w:eastAsia="仿宋_GB2312" w:cs="仿宋_GB2312"/>
          <w:color w:val="000000"/>
          <w:kern w:val="0"/>
          <w:sz w:val="30"/>
          <w:szCs w:val="30"/>
        </w:rPr>
        <w:t>元，占政府采购支出总额的</w:t>
      </w:r>
      <w:r>
        <w:rPr>
          <w:rFonts w:hint="eastAsia" w:ascii="Times New Roman" w:hAnsi="Times New Roman" w:eastAsia="仿宋_GB2312" w:cs="Times New Roman"/>
          <w:kern w:val="0"/>
          <w:sz w:val="30"/>
          <w:szCs w:val="30"/>
        </w:rPr>
        <w:t>0.43%</w:t>
      </w:r>
      <w:r>
        <w:rPr>
          <w:rFonts w:hint="eastAsia" w:ascii="Times New Roman" w:hAnsi="Times New Roman" w:eastAsia="仿宋_GB2312" w:cs="仿宋_GB2312"/>
          <w:color w:val="000000"/>
          <w:kern w:val="0"/>
          <w:sz w:val="30"/>
          <w:szCs w:val="30"/>
        </w:rPr>
        <w:t>；</w:t>
      </w:r>
      <w:r>
        <w:rPr>
          <w:rFonts w:hint="eastAsia" w:ascii="Times New Roman" w:hAnsi="Times New Roman" w:eastAsia="仿宋_GB2312" w:cs="仿宋_GB2312"/>
          <w:kern w:val="0"/>
          <w:sz w:val="30"/>
          <w:szCs w:val="30"/>
        </w:rPr>
        <w:t>货物采购授予中小企业合同金额占货物支出金额的</w:t>
      </w:r>
      <w:r>
        <w:rPr>
          <w:rFonts w:hint="eastAsia" w:ascii="Times New Roman" w:hAnsi="Times New Roman" w:eastAsia="仿宋_GB2312" w:cs="仿宋_GB2312"/>
          <w:sz w:val="30"/>
          <w:szCs w:val="30"/>
          <w:lang w:val="en-US" w:eastAsia="zh-CN"/>
        </w:rPr>
        <w:t>100</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，工程采购授予中小企业合同金额占工程支出金额的</w:t>
      </w:r>
      <w:r>
        <w:rPr>
          <w:rFonts w:hint="eastAsia" w:ascii="Times New Roman" w:hAnsi="Times New Roman" w:eastAsia="仿宋_GB2312" w:cs="仿宋_GB2312"/>
          <w:sz w:val="30"/>
          <w:szCs w:val="30"/>
        </w:rPr>
        <w:t>0.0</w:t>
      </w:r>
      <w:r>
        <w:rPr>
          <w:rFonts w:ascii="Times New Roman" w:hAnsi="Times New Roman" w:eastAsia="仿宋_GB2312" w:cs="仿宋_GB2312"/>
          <w:sz w:val="30"/>
          <w:szCs w:val="30"/>
        </w:rPr>
        <w:t>0</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，服务采购授予中小企业合同金额占服务支出金额的</w:t>
      </w:r>
      <w:r>
        <w:rPr>
          <w:rFonts w:hint="eastAsia" w:ascii="Times New Roman" w:hAnsi="Times New Roman" w:eastAsia="仿宋_GB2312" w:cs="仿宋_GB2312"/>
          <w:sz w:val="30"/>
          <w:szCs w:val="30"/>
        </w:rPr>
        <w:t>0.0</w:t>
      </w:r>
      <w:r>
        <w:rPr>
          <w:rFonts w:ascii="Times New Roman" w:hAnsi="Times New Roman" w:eastAsia="仿宋_GB2312" w:cs="仿宋_GB2312"/>
          <w:sz w:val="30"/>
          <w:szCs w:val="30"/>
        </w:rPr>
        <w:t>0</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w:t>
      </w:r>
    </w:p>
    <w:p w14:paraId="2C5F9014">
      <w:pPr>
        <w:pageBreakBefore w:val="0"/>
        <w:kinsoku/>
        <w:wordWrap/>
        <w:overflowPunct/>
        <w:topLinePunct w:val="0"/>
        <w:autoSpaceDE w:val="0"/>
        <w:autoSpaceDN w:val="0"/>
        <w:bidi w:val="0"/>
        <w:adjustRightInd w:val="0"/>
        <w:snapToGrid/>
        <w:spacing w:line="600" w:lineRule="exact"/>
        <w:ind w:firstLine="600"/>
        <w:jc w:val="both"/>
        <w:textAlignment w:val="auto"/>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十二、</w:t>
      </w:r>
      <w:r>
        <w:rPr>
          <w:rFonts w:hint="eastAsia" w:ascii="Times New Roman" w:hAnsi="Times New Roman" w:eastAsia="黑体" w:cs="黑体"/>
          <w:b/>
          <w:bCs/>
          <w:kern w:val="0"/>
          <w:sz w:val="30"/>
          <w:szCs w:val="30"/>
        </w:rPr>
        <w:t>国有资产占有使用情况说明</w:t>
      </w:r>
    </w:p>
    <w:p w14:paraId="1897EFF5">
      <w:pPr>
        <w:pageBreakBefore w:val="0"/>
        <w:kinsoku/>
        <w:wordWrap/>
        <w:overflowPunct/>
        <w:topLinePunct w:val="0"/>
        <w:autoSpaceDE w:val="0"/>
        <w:autoSpaceDN w:val="0"/>
        <w:bidi w:val="0"/>
        <w:adjustRightInd w:val="0"/>
        <w:snapToGrid/>
        <w:spacing w:line="600" w:lineRule="exact"/>
        <w:ind w:firstLine="600"/>
        <w:jc w:val="both"/>
        <w:textAlignment w:val="auto"/>
        <w:rPr>
          <w:rFonts w:ascii="Times New Roman" w:hAnsi="Times New Roman" w:eastAsia="仿宋_GB2312" w:cs="仿宋_GB2312"/>
          <w:sz w:val="30"/>
          <w:szCs w:val="30"/>
        </w:rPr>
      </w:pPr>
      <w:r>
        <w:rPr>
          <w:rFonts w:hint="eastAsia" w:ascii="Times New Roman" w:hAnsi="Times New Roman" w:eastAsia="仿宋_GB2312" w:cs="仿宋_GB2312"/>
          <w:sz w:val="30"/>
          <w:szCs w:val="30"/>
        </w:rPr>
        <w:t>中国国际贸易促进委员会天津市分会2023年度无国有资产占有使用情况。</w:t>
      </w:r>
    </w:p>
    <w:p w14:paraId="144501CF">
      <w:pPr>
        <w:pageBreakBefore w:val="0"/>
        <w:kinsoku/>
        <w:wordWrap/>
        <w:overflowPunct/>
        <w:topLinePunct w:val="0"/>
        <w:autoSpaceDE w:val="0"/>
        <w:autoSpaceDN w:val="0"/>
        <w:bidi w:val="0"/>
        <w:adjustRightInd w:val="0"/>
        <w:snapToGrid/>
        <w:spacing w:line="600" w:lineRule="exact"/>
        <w:ind w:firstLine="600"/>
        <w:jc w:val="both"/>
        <w:textAlignment w:val="auto"/>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十三、</w:t>
      </w:r>
      <w:r>
        <w:rPr>
          <w:rFonts w:hint="eastAsia" w:ascii="Times New Roman" w:hAnsi="Times New Roman" w:eastAsia="黑体" w:cs="黑体"/>
          <w:b/>
          <w:bCs/>
          <w:kern w:val="0"/>
          <w:sz w:val="30"/>
          <w:szCs w:val="30"/>
        </w:rPr>
        <w:t>预算绩效情况说明</w:t>
      </w:r>
    </w:p>
    <w:p w14:paraId="1580F67E">
      <w:pPr>
        <w:pageBreakBefore w:val="0"/>
        <w:kinsoku/>
        <w:wordWrap/>
        <w:overflowPunct/>
        <w:topLinePunct w:val="0"/>
        <w:autoSpaceDE w:val="0"/>
        <w:autoSpaceDN w:val="0"/>
        <w:bidi w:val="0"/>
        <w:adjustRightInd w:val="0"/>
        <w:snapToGrid/>
        <w:spacing w:line="600" w:lineRule="exact"/>
        <w:ind w:firstLine="600"/>
        <w:jc w:val="both"/>
        <w:textAlignment w:val="auto"/>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根据预算绩效管理要求，</w:t>
      </w:r>
      <w:r>
        <w:rPr>
          <w:rFonts w:hint="eastAsia" w:ascii="Times New Roman" w:hAnsi="Times New Roman" w:eastAsia="仿宋_GB2312" w:cs="仿宋_GB2312"/>
          <w:color w:val="000000"/>
          <w:kern w:val="0"/>
          <w:sz w:val="30"/>
          <w:szCs w:val="30"/>
        </w:rPr>
        <w:t>中国国际贸易促进委员会天津市分会</w:t>
      </w:r>
      <w:r>
        <w:rPr>
          <w:rFonts w:hint="eastAsia" w:ascii="Times New Roman" w:hAnsi="Times New Roman" w:eastAsia="仿宋_GB2312" w:cs="仿宋_GB2312"/>
          <w:kern w:val="0"/>
          <w:sz w:val="30"/>
          <w:szCs w:val="30"/>
        </w:rPr>
        <w:t>2023年度已对</w:t>
      </w:r>
      <w:r>
        <w:rPr>
          <w:rFonts w:hint="eastAsia" w:ascii="Times New Roman" w:hAnsi="Times New Roman" w:eastAsia="仿宋_GB2312" w:cs="仿宋_GB2312"/>
          <w:sz w:val="30"/>
          <w:szCs w:val="30"/>
        </w:rPr>
        <w:t>12</w:t>
      </w:r>
      <w:r>
        <w:rPr>
          <w:rFonts w:hint="eastAsia" w:ascii="Times New Roman" w:hAnsi="Times New Roman" w:eastAsia="仿宋_GB2312" w:cs="仿宋_GB2312"/>
          <w:kern w:val="0"/>
          <w:sz w:val="30"/>
          <w:szCs w:val="30"/>
        </w:rPr>
        <w:t>个市级项目开展绩效自评，涉及金额</w:t>
      </w:r>
      <w:r>
        <w:rPr>
          <w:rFonts w:hint="eastAsia" w:ascii="Times New Roman" w:hAnsi="Times New Roman" w:eastAsia="仿宋_GB2312" w:cs="仿宋_GB2312"/>
          <w:sz w:val="30"/>
          <w:szCs w:val="30"/>
        </w:rPr>
        <w:t>6,190,439.16</w:t>
      </w:r>
      <w:r>
        <w:rPr>
          <w:rFonts w:hint="eastAsia" w:ascii="Times New Roman" w:hAnsi="Times New Roman" w:eastAsia="仿宋_GB2312" w:cs="仿宋_GB2312"/>
          <w:kern w:val="0"/>
          <w:sz w:val="30"/>
          <w:szCs w:val="30"/>
        </w:rPr>
        <w:t>元，自评结果已随部门决算一并公开；本部门2</w:t>
      </w:r>
      <w:r>
        <w:rPr>
          <w:rFonts w:ascii="Times New Roman" w:hAnsi="Times New Roman" w:eastAsia="仿宋_GB2312" w:cs="仿宋_GB2312"/>
          <w:kern w:val="0"/>
          <w:sz w:val="30"/>
          <w:szCs w:val="30"/>
        </w:rPr>
        <w:t>023</w:t>
      </w:r>
      <w:r>
        <w:rPr>
          <w:rFonts w:hint="eastAsia" w:ascii="Times New Roman" w:hAnsi="Times New Roman" w:eastAsia="仿宋_GB2312" w:cs="仿宋_GB2312"/>
          <w:kern w:val="0"/>
          <w:sz w:val="30"/>
          <w:szCs w:val="30"/>
        </w:rPr>
        <w:t>年度</w:t>
      </w:r>
      <w:r>
        <w:rPr>
          <w:rFonts w:ascii="Times New Roman" w:hAnsi="Times New Roman" w:eastAsia="仿宋_GB2312" w:cs="仿宋_GB2312"/>
          <w:kern w:val="0"/>
          <w:sz w:val="30"/>
          <w:szCs w:val="30"/>
        </w:rPr>
        <w:t>未开展部门评价。</w:t>
      </w:r>
    </w:p>
    <w:p w14:paraId="3950411E">
      <w:pPr>
        <w:pageBreakBefore w:val="0"/>
        <w:kinsoku/>
        <w:wordWrap/>
        <w:overflowPunct/>
        <w:topLinePunct w:val="0"/>
        <w:autoSpaceDE w:val="0"/>
        <w:autoSpaceDN w:val="0"/>
        <w:bidi w:val="0"/>
        <w:adjustRightInd w:val="0"/>
        <w:snapToGrid/>
        <w:spacing w:line="600" w:lineRule="exact"/>
        <w:ind w:firstLine="600"/>
        <w:jc w:val="both"/>
        <w:textAlignment w:val="auto"/>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十四、</w:t>
      </w:r>
      <w:r>
        <w:rPr>
          <w:rFonts w:hint="eastAsia" w:ascii="Times New Roman" w:hAnsi="Times New Roman" w:eastAsia="黑体" w:cs="黑体"/>
          <w:b/>
          <w:bCs/>
          <w:kern w:val="0"/>
          <w:sz w:val="30"/>
          <w:szCs w:val="30"/>
        </w:rPr>
        <w:t>教育、医疗卫生、社会保障和就业、住房保障、涉农补贴等民生支出情况说明</w:t>
      </w:r>
    </w:p>
    <w:p w14:paraId="32A441B3">
      <w:pPr>
        <w:pageBreakBefore w:val="0"/>
        <w:kinsoku/>
        <w:wordWrap/>
        <w:overflowPunct/>
        <w:topLinePunct w:val="0"/>
        <w:autoSpaceDE w:val="0"/>
        <w:autoSpaceDN w:val="0"/>
        <w:bidi w:val="0"/>
        <w:adjustRightInd w:val="0"/>
        <w:snapToGrid/>
        <w:spacing w:line="600" w:lineRule="exact"/>
        <w:ind w:firstLine="600"/>
        <w:jc w:val="both"/>
        <w:textAlignment w:val="auto"/>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中国国际贸易促进委员会天津市分会不属于乡、镇、街级单位，不涉及公开2023年度教育、医疗卫生、社会保障和就业、住房保障、涉农补贴等民生支出情况。</w:t>
      </w:r>
    </w:p>
    <w:p w14:paraId="73BF8F6A">
      <w:pPr>
        <w:pageBreakBefore w:val="0"/>
        <w:kinsoku/>
        <w:wordWrap/>
        <w:overflowPunct/>
        <w:topLinePunct w:val="0"/>
        <w:autoSpaceDE w:val="0"/>
        <w:autoSpaceDN w:val="0"/>
        <w:bidi w:val="0"/>
        <w:adjustRightInd w:val="0"/>
        <w:snapToGrid/>
        <w:spacing w:line="600" w:lineRule="exact"/>
        <w:jc w:val="both"/>
        <w:textAlignment w:val="auto"/>
        <w:rPr>
          <w:rFonts w:ascii="Times New Roman" w:hAnsi="Times New Roman" w:eastAsia="仿宋_GB2312" w:cs="仿宋_GB2312"/>
          <w:b/>
          <w:bCs/>
          <w:color w:val="000000"/>
          <w:kern w:val="0"/>
          <w:sz w:val="30"/>
          <w:szCs w:val="30"/>
        </w:rPr>
      </w:pPr>
      <w:r>
        <w:rPr>
          <w:rFonts w:ascii="Times New Roman" w:hAnsi="Times New Roman" w:eastAsia="仿宋_GB2312" w:cs="仿宋_GB2312"/>
          <w:b/>
          <w:bCs/>
          <w:color w:val="000000"/>
          <w:kern w:val="0"/>
          <w:sz w:val="30"/>
          <w:szCs w:val="30"/>
        </w:rPr>
        <w:br w:type="page"/>
      </w:r>
    </w:p>
    <w:p w14:paraId="7E2CEBD4">
      <w:pPr>
        <w:keepNext/>
        <w:keepLines/>
        <w:pageBreakBefore w:val="0"/>
        <w:kinsoku/>
        <w:wordWrap/>
        <w:overflowPunct/>
        <w:topLinePunct w:val="0"/>
        <w:autoSpaceDE w:val="0"/>
        <w:autoSpaceDN w:val="0"/>
        <w:bidi w:val="0"/>
        <w:adjustRightInd w:val="0"/>
        <w:snapToGrid/>
        <w:spacing w:line="600" w:lineRule="exact"/>
        <w:jc w:val="center"/>
        <w:textAlignment w:val="auto"/>
        <w:outlineLvl w:val="0"/>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第四部分</w:t>
      </w:r>
      <w:r>
        <w:rPr>
          <w:rFonts w:hint="eastAsia" w:ascii="Times New Roman" w:hAnsi="Times New Roman" w:eastAsia="方正小标宋简体" w:cs="方正小标宋简体"/>
          <w:kern w:val="44"/>
          <w:sz w:val="44"/>
          <w:szCs w:val="44"/>
          <w:lang w:val="en-US" w:eastAsia="zh-CN"/>
        </w:rPr>
        <w:t xml:space="preserve">  </w:t>
      </w:r>
      <w:r>
        <w:rPr>
          <w:rFonts w:hint="eastAsia" w:ascii="Times New Roman" w:hAnsi="Times New Roman" w:eastAsia="方正小标宋简体" w:cs="方正小标宋简体"/>
          <w:kern w:val="44"/>
          <w:sz w:val="44"/>
          <w:szCs w:val="44"/>
        </w:rPr>
        <w:t>名词解释</w:t>
      </w:r>
    </w:p>
    <w:p w14:paraId="1992427C">
      <w:pPr>
        <w:pageBreakBefore w:val="0"/>
        <w:kinsoku/>
        <w:wordWrap/>
        <w:overflowPunct/>
        <w:topLinePunct w:val="0"/>
        <w:autoSpaceDE w:val="0"/>
        <w:autoSpaceDN w:val="0"/>
        <w:bidi w:val="0"/>
        <w:adjustRightInd w:val="0"/>
        <w:snapToGrid/>
        <w:spacing w:line="600" w:lineRule="exact"/>
        <w:ind w:firstLine="600"/>
        <w:jc w:val="both"/>
        <w:textAlignment w:val="auto"/>
        <w:rPr>
          <w:rFonts w:ascii="Times New Roman" w:hAnsi="Times New Roman" w:eastAsia="仿宋_GB2312" w:cs="仿宋_GB2312"/>
          <w:kern w:val="0"/>
          <w:sz w:val="30"/>
          <w:szCs w:val="30"/>
        </w:rPr>
      </w:pPr>
    </w:p>
    <w:p w14:paraId="25CA11C6">
      <w:pPr>
        <w:pageBreakBefore w:val="0"/>
        <w:kinsoku/>
        <w:wordWrap/>
        <w:overflowPunct/>
        <w:topLinePunct w:val="0"/>
        <w:autoSpaceDE w:val="0"/>
        <w:autoSpaceDN w:val="0"/>
        <w:bidi w:val="0"/>
        <w:adjustRightInd w:val="0"/>
        <w:snapToGrid/>
        <w:spacing w:line="600" w:lineRule="exact"/>
        <w:ind w:firstLine="600"/>
        <w:jc w:val="both"/>
        <w:textAlignment w:val="auto"/>
        <w:rPr>
          <w:rFonts w:ascii="Times New Roman" w:hAnsi="Times New Roman" w:eastAsia="仿宋_GB2312" w:cs="仿宋_GB2312"/>
          <w:kern w:val="0"/>
          <w:sz w:val="30"/>
          <w:szCs w:val="30"/>
        </w:rPr>
      </w:pPr>
      <w:r>
        <w:rPr>
          <w:rFonts w:ascii="Times New Roman" w:hAnsi="Times New Roman" w:eastAsia="宋体" w:cs="宋体"/>
          <w:kern w:val="0"/>
          <w:sz w:val="32"/>
          <w:szCs w:val="32"/>
        </w:rPr>
        <w:t>1.</w:t>
      </w:r>
      <w:r>
        <w:rPr>
          <w:rFonts w:hint="eastAsia" w:ascii="Times New Roman" w:hAnsi="Times New Roman" w:eastAsia="仿宋_GB2312" w:cs="仿宋_GB2312"/>
          <w:kern w:val="0"/>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4A5A2A32">
      <w:pPr>
        <w:pageBreakBefore w:val="0"/>
        <w:kinsoku/>
        <w:wordWrap/>
        <w:overflowPunct/>
        <w:topLinePunct w:val="0"/>
        <w:autoSpaceDE w:val="0"/>
        <w:autoSpaceDN w:val="0"/>
        <w:bidi w:val="0"/>
        <w:adjustRightInd w:val="0"/>
        <w:snapToGrid/>
        <w:spacing w:line="600" w:lineRule="exact"/>
        <w:ind w:firstLine="600"/>
        <w:jc w:val="both"/>
        <w:textAlignment w:val="auto"/>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w:t>
      </w:r>
      <w:r>
        <w:rPr>
          <w:rFonts w:hint="eastAsia" w:ascii="Times New Roman" w:hAnsi="Times New Roman" w:eastAsia="仿宋_GB2312" w:cs="仿宋_GB2312"/>
          <w:kern w:val="0"/>
          <w:sz w:val="30"/>
          <w:szCs w:val="30"/>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62185511">
      <w:pPr>
        <w:pageBreakBefore w:val="0"/>
        <w:kinsoku/>
        <w:wordWrap/>
        <w:overflowPunct/>
        <w:topLinePunct w:val="0"/>
        <w:autoSpaceDE w:val="0"/>
        <w:autoSpaceDN w:val="0"/>
        <w:bidi w:val="0"/>
        <w:adjustRightInd w:val="0"/>
        <w:snapToGrid/>
        <w:spacing w:line="600" w:lineRule="exact"/>
        <w:ind w:firstLine="600"/>
        <w:jc w:val="both"/>
        <w:textAlignment w:val="auto"/>
        <w:rPr>
          <w:rFonts w:ascii="Times New Roman" w:hAnsi="Times New Roman"/>
        </w:rPr>
      </w:pPr>
      <w:r>
        <w:rPr>
          <w:rFonts w:ascii="Times New Roman" w:hAnsi="Times New Roman" w:eastAsia="仿宋_GB2312" w:cs="仿宋_GB2312"/>
          <w:kern w:val="0"/>
          <w:sz w:val="30"/>
          <w:szCs w:val="30"/>
        </w:rPr>
        <w:t>3.“</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VhN2ExODhlOWYwMGRhZjNjNmFmYWNhM2UyN2M5OGYifQ=="/>
  </w:docVars>
  <w:rsids>
    <w:rsidRoot w:val="006A094D"/>
    <w:rsid w:val="00012D23"/>
    <w:rsid w:val="00013A12"/>
    <w:rsid w:val="0002687D"/>
    <w:rsid w:val="00047C6F"/>
    <w:rsid w:val="000528EE"/>
    <w:rsid w:val="000719FD"/>
    <w:rsid w:val="000B5C71"/>
    <w:rsid w:val="000D4B98"/>
    <w:rsid w:val="00127EFA"/>
    <w:rsid w:val="00142888"/>
    <w:rsid w:val="00152EEB"/>
    <w:rsid w:val="00153077"/>
    <w:rsid w:val="00167CB7"/>
    <w:rsid w:val="001A0E4F"/>
    <w:rsid w:val="001B5C3C"/>
    <w:rsid w:val="001C0399"/>
    <w:rsid w:val="001D587E"/>
    <w:rsid w:val="002124F6"/>
    <w:rsid w:val="00264B59"/>
    <w:rsid w:val="00293C9C"/>
    <w:rsid w:val="002A0623"/>
    <w:rsid w:val="002A4997"/>
    <w:rsid w:val="002E6086"/>
    <w:rsid w:val="00302490"/>
    <w:rsid w:val="003227B2"/>
    <w:rsid w:val="003536BE"/>
    <w:rsid w:val="003B25FB"/>
    <w:rsid w:val="00425ECC"/>
    <w:rsid w:val="00432D41"/>
    <w:rsid w:val="004A482F"/>
    <w:rsid w:val="004B4DCD"/>
    <w:rsid w:val="004D4A45"/>
    <w:rsid w:val="004F39BF"/>
    <w:rsid w:val="005062D7"/>
    <w:rsid w:val="005175E6"/>
    <w:rsid w:val="00525157"/>
    <w:rsid w:val="005349A2"/>
    <w:rsid w:val="00574683"/>
    <w:rsid w:val="00575537"/>
    <w:rsid w:val="005D1367"/>
    <w:rsid w:val="005D3F56"/>
    <w:rsid w:val="00621E77"/>
    <w:rsid w:val="00654D17"/>
    <w:rsid w:val="006623EC"/>
    <w:rsid w:val="006A094D"/>
    <w:rsid w:val="006C2F6A"/>
    <w:rsid w:val="006D2409"/>
    <w:rsid w:val="006D6C99"/>
    <w:rsid w:val="006E65DB"/>
    <w:rsid w:val="00725413"/>
    <w:rsid w:val="00757537"/>
    <w:rsid w:val="00776FF3"/>
    <w:rsid w:val="0078156E"/>
    <w:rsid w:val="00786E74"/>
    <w:rsid w:val="0079361D"/>
    <w:rsid w:val="007D1285"/>
    <w:rsid w:val="007E49E1"/>
    <w:rsid w:val="007F6DA7"/>
    <w:rsid w:val="008174D5"/>
    <w:rsid w:val="00885126"/>
    <w:rsid w:val="0089698B"/>
    <w:rsid w:val="008D48A9"/>
    <w:rsid w:val="00941A30"/>
    <w:rsid w:val="00977DCC"/>
    <w:rsid w:val="009820CF"/>
    <w:rsid w:val="00982A8B"/>
    <w:rsid w:val="009A7ED3"/>
    <w:rsid w:val="009D74D7"/>
    <w:rsid w:val="00A57AE7"/>
    <w:rsid w:val="00AF71AE"/>
    <w:rsid w:val="00B33C70"/>
    <w:rsid w:val="00B75228"/>
    <w:rsid w:val="00B811F1"/>
    <w:rsid w:val="00B81B9F"/>
    <w:rsid w:val="00BA550F"/>
    <w:rsid w:val="00BC763A"/>
    <w:rsid w:val="00BC7D6F"/>
    <w:rsid w:val="00BD3CAC"/>
    <w:rsid w:val="00BF697A"/>
    <w:rsid w:val="00C52E77"/>
    <w:rsid w:val="00C65A44"/>
    <w:rsid w:val="00C76AC3"/>
    <w:rsid w:val="00C83EB4"/>
    <w:rsid w:val="00D4505A"/>
    <w:rsid w:val="00D65B41"/>
    <w:rsid w:val="00DC3234"/>
    <w:rsid w:val="00DC3CD0"/>
    <w:rsid w:val="00DD60B5"/>
    <w:rsid w:val="00E7602B"/>
    <w:rsid w:val="00E964B2"/>
    <w:rsid w:val="00EA6549"/>
    <w:rsid w:val="00F007FE"/>
    <w:rsid w:val="017D4A3B"/>
    <w:rsid w:val="01A10E80"/>
    <w:rsid w:val="029D518A"/>
    <w:rsid w:val="03311B3F"/>
    <w:rsid w:val="03901927"/>
    <w:rsid w:val="05CA273A"/>
    <w:rsid w:val="05E55C53"/>
    <w:rsid w:val="069A035E"/>
    <w:rsid w:val="07267E44"/>
    <w:rsid w:val="07425D24"/>
    <w:rsid w:val="07A23238"/>
    <w:rsid w:val="085D1644"/>
    <w:rsid w:val="0A7D5D1A"/>
    <w:rsid w:val="0AF018E5"/>
    <w:rsid w:val="0B1428B6"/>
    <w:rsid w:val="0B2716A6"/>
    <w:rsid w:val="0B2E72C7"/>
    <w:rsid w:val="0C411F0C"/>
    <w:rsid w:val="0CDD71F7"/>
    <w:rsid w:val="0D664210"/>
    <w:rsid w:val="0DA7267B"/>
    <w:rsid w:val="0DFB4FC0"/>
    <w:rsid w:val="0E267459"/>
    <w:rsid w:val="0EBB5316"/>
    <w:rsid w:val="0FC42B69"/>
    <w:rsid w:val="0FF22FB9"/>
    <w:rsid w:val="118916FB"/>
    <w:rsid w:val="1221675E"/>
    <w:rsid w:val="12C34799"/>
    <w:rsid w:val="12D93FBD"/>
    <w:rsid w:val="13463246"/>
    <w:rsid w:val="142D4C1F"/>
    <w:rsid w:val="15F1161D"/>
    <w:rsid w:val="161D1413"/>
    <w:rsid w:val="1666200B"/>
    <w:rsid w:val="16C5644A"/>
    <w:rsid w:val="16D76A65"/>
    <w:rsid w:val="17C84C4C"/>
    <w:rsid w:val="1949378C"/>
    <w:rsid w:val="199A3054"/>
    <w:rsid w:val="1A1104E0"/>
    <w:rsid w:val="1A404E9F"/>
    <w:rsid w:val="1AA54268"/>
    <w:rsid w:val="1AB267B1"/>
    <w:rsid w:val="1B173F14"/>
    <w:rsid w:val="1B4641B9"/>
    <w:rsid w:val="1B520DB0"/>
    <w:rsid w:val="1B5D5A1E"/>
    <w:rsid w:val="1B7A68EC"/>
    <w:rsid w:val="1CCA277E"/>
    <w:rsid w:val="1DFB572F"/>
    <w:rsid w:val="1EC5396A"/>
    <w:rsid w:val="1EFB0588"/>
    <w:rsid w:val="20DB5BFD"/>
    <w:rsid w:val="21365D81"/>
    <w:rsid w:val="21556D90"/>
    <w:rsid w:val="21C24E94"/>
    <w:rsid w:val="21D73FEC"/>
    <w:rsid w:val="23736675"/>
    <w:rsid w:val="24643582"/>
    <w:rsid w:val="24B227A0"/>
    <w:rsid w:val="25BA7C7E"/>
    <w:rsid w:val="2666570F"/>
    <w:rsid w:val="26DB4B05"/>
    <w:rsid w:val="271B299E"/>
    <w:rsid w:val="27AA480B"/>
    <w:rsid w:val="27DD7C53"/>
    <w:rsid w:val="284E3F62"/>
    <w:rsid w:val="28612632"/>
    <w:rsid w:val="2A5048E1"/>
    <w:rsid w:val="2A924D25"/>
    <w:rsid w:val="2BC20F83"/>
    <w:rsid w:val="2C800474"/>
    <w:rsid w:val="2C8F0671"/>
    <w:rsid w:val="2D5A0475"/>
    <w:rsid w:val="2E487134"/>
    <w:rsid w:val="2E8C3709"/>
    <w:rsid w:val="2F146650"/>
    <w:rsid w:val="2FA13000"/>
    <w:rsid w:val="2FC74096"/>
    <w:rsid w:val="2FF951BC"/>
    <w:rsid w:val="307A24E3"/>
    <w:rsid w:val="307A6987"/>
    <w:rsid w:val="30BB5227"/>
    <w:rsid w:val="313F372D"/>
    <w:rsid w:val="32146967"/>
    <w:rsid w:val="32443D30"/>
    <w:rsid w:val="32672F3B"/>
    <w:rsid w:val="33032C66"/>
    <w:rsid w:val="332D3FC0"/>
    <w:rsid w:val="354D7E20"/>
    <w:rsid w:val="35747E49"/>
    <w:rsid w:val="35823AFA"/>
    <w:rsid w:val="358C1096"/>
    <w:rsid w:val="35B6328D"/>
    <w:rsid w:val="35F44AE6"/>
    <w:rsid w:val="36144696"/>
    <w:rsid w:val="381E22EE"/>
    <w:rsid w:val="3AF76503"/>
    <w:rsid w:val="3B0209DD"/>
    <w:rsid w:val="3B0C198B"/>
    <w:rsid w:val="3B483C6E"/>
    <w:rsid w:val="3B776F10"/>
    <w:rsid w:val="3B7C7A57"/>
    <w:rsid w:val="3B8E1539"/>
    <w:rsid w:val="3D433191"/>
    <w:rsid w:val="3D600CB3"/>
    <w:rsid w:val="3E426F14"/>
    <w:rsid w:val="3EB42189"/>
    <w:rsid w:val="3EC62D97"/>
    <w:rsid w:val="3EEF0B4C"/>
    <w:rsid w:val="3EF16375"/>
    <w:rsid w:val="3F2006FA"/>
    <w:rsid w:val="40CF0629"/>
    <w:rsid w:val="4137238C"/>
    <w:rsid w:val="41CC0838"/>
    <w:rsid w:val="43612B5A"/>
    <w:rsid w:val="43805C0B"/>
    <w:rsid w:val="43B835F7"/>
    <w:rsid w:val="44552CED"/>
    <w:rsid w:val="44EB17AA"/>
    <w:rsid w:val="45984C48"/>
    <w:rsid w:val="4721290D"/>
    <w:rsid w:val="47727F60"/>
    <w:rsid w:val="485D29BF"/>
    <w:rsid w:val="49374433"/>
    <w:rsid w:val="49DA103E"/>
    <w:rsid w:val="4A2319E6"/>
    <w:rsid w:val="4A8E57CD"/>
    <w:rsid w:val="4B140CB5"/>
    <w:rsid w:val="4CA13CE1"/>
    <w:rsid w:val="4CD450D8"/>
    <w:rsid w:val="4D14664A"/>
    <w:rsid w:val="4D210FC7"/>
    <w:rsid w:val="4D720D77"/>
    <w:rsid w:val="4DB9688D"/>
    <w:rsid w:val="4E234F23"/>
    <w:rsid w:val="4E8C7B5A"/>
    <w:rsid w:val="4F167E2F"/>
    <w:rsid w:val="4F391364"/>
    <w:rsid w:val="4FA424E7"/>
    <w:rsid w:val="4FBD62FD"/>
    <w:rsid w:val="4FD337AC"/>
    <w:rsid w:val="4FE523CE"/>
    <w:rsid w:val="5236167C"/>
    <w:rsid w:val="528E06F6"/>
    <w:rsid w:val="52A37398"/>
    <w:rsid w:val="53C102A5"/>
    <w:rsid w:val="54380029"/>
    <w:rsid w:val="54A61249"/>
    <w:rsid w:val="54F16968"/>
    <w:rsid w:val="55AC416B"/>
    <w:rsid w:val="564C0516"/>
    <w:rsid w:val="5713248B"/>
    <w:rsid w:val="57833AC4"/>
    <w:rsid w:val="578735B4"/>
    <w:rsid w:val="58C3061C"/>
    <w:rsid w:val="58E93DFA"/>
    <w:rsid w:val="599E4BE5"/>
    <w:rsid w:val="5A1C0F73"/>
    <w:rsid w:val="5A964C59"/>
    <w:rsid w:val="5B7F51A7"/>
    <w:rsid w:val="5C170425"/>
    <w:rsid w:val="5CD612EB"/>
    <w:rsid w:val="5D032E6E"/>
    <w:rsid w:val="5D702BDA"/>
    <w:rsid w:val="5DC66F7C"/>
    <w:rsid w:val="5DFB2606"/>
    <w:rsid w:val="5E015742"/>
    <w:rsid w:val="5EB1144C"/>
    <w:rsid w:val="5EF37781"/>
    <w:rsid w:val="5F6D7131"/>
    <w:rsid w:val="5F7856C5"/>
    <w:rsid w:val="5FF67529"/>
    <w:rsid w:val="615900E7"/>
    <w:rsid w:val="61D75AE1"/>
    <w:rsid w:val="620B43D3"/>
    <w:rsid w:val="624C1682"/>
    <w:rsid w:val="63B80927"/>
    <w:rsid w:val="643C1F0A"/>
    <w:rsid w:val="644D16E1"/>
    <w:rsid w:val="64925346"/>
    <w:rsid w:val="654E5711"/>
    <w:rsid w:val="656942F9"/>
    <w:rsid w:val="665D659A"/>
    <w:rsid w:val="66A56E44"/>
    <w:rsid w:val="672E57FA"/>
    <w:rsid w:val="68200AB4"/>
    <w:rsid w:val="68C169D0"/>
    <w:rsid w:val="6B4F5D3F"/>
    <w:rsid w:val="6B963EB9"/>
    <w:rsid w:val="6BBB51FE"/>
    <w:rsid w:val="6BF54B38"/>
    <w:rsid w:val="6C054650"/>
    <w:rsid w:val="6C1D5E3D"/>
    <w:rsid w:val="6CF70A69"/>
    <w:rsid w:val="6CFE17CB"/>
    <w:rsid w:val="6D5E0469"/>
    <w:rsid w:val="6D854C1A"/>
    <w:rsid w:val="6DB96167"/>
    <w:rsid w:val="6E080CF4"/>
    <w:rsid w:val="6E553AC2"/>
    <w:rsid w:val="6EB34837"/>
    <w:rsid w:val="70180DF5"/>
    <w:rsid w:val="704716DB"/>
    <w:rsid w:val="708C6A78"/>
    <w:rsid w:val="70E84C6C"/>
    <w:rsid w:val="70FE35D3"/>
    <w:rsid w:val="71600CA6"/>
    <w:rsid w:val="7260119C"/>
    <w:rsid w:val="72701CEB"/>
    <w:rsid w:val="72B3615B"/>
    <w:rsid w:val="73724CC1"/>
    <w:rsid w:val="7455465F"/>
    <w:rsid w:val="75AB44BA"/>
    <w:rsid w:val="79B7155B"/>
    <w:rsid w:val="79DC07A5"/>
    <w:rsid w:val="7ACA53E2"/>
    <w:rsid w:val="7B143565"/>
    <w:rsid w:val="7E2E7A36"/>
    <w:rsid w:val="7E703A39"/>
    <w:rsid w:val="7F3217A8"/>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9"/>
    <w:qFormat/>
    <w:uiPriority w:val="99"/>
    <w:pPr>
      <w:autoSpaceDE w:val="0"/>
      <w:autoSpaceDN w:val="0"/>
      <w:adjustRightInd w:val="0"/>
      <w:jc w:val="left"/>
      <w:outlineLvl w:val="0"/>
    </w:pPr>
    <w:rPr>
      <w:rFonts w:ascii="方正小标宋简体" w:eastAsia="方正小标宋简体"/>
      <w:kern w:val="0"/>
      <w:sz w:val="24"/>
      <w:szCs w:val="24"/>
    </w:rPr>
  </w:style>
  <w:style w:type="paragraph" w:styleId="3">
    <w:name w:val="heading 2"/>
    <w:basedOn w:val="1"/>
    <w:next w:val="1"/>
    <w:link w:val="10"/>
    <w:qFormat/>
    <w:uiPriority w:val="99"/>
    <w:pPr>
      <w:autoSpaceDE w:val="0"/>
      <w:autoSpaceDN w:val="0"/>
      <w:adjustRightInd w:val="0"/>
      <w:jc w:val="left"/>
      <w:outlineLvl w:val="1"/>
    </w:pPr>
    <w:rPr>
      <w:rFonts w:ascii="方正小标宋简体" w:eastAsia="方正小标宋简体"/>
      <w:kern w:val="0"/>
      <w:sz w:val="24"/>
      <w:szCs w:val="2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tabs>
        <w:tab w:val="center" w:pos="4153"/>
        <w:tab w:val="right" w:pos="8306"/>
      </w:tabs>
      <w:snapToGrid w:val="0"/>
      <w:jc w:val="center"/>
    </w:pPr>
    <w:rPr>
      <w:sz w:val="18"/>
      <w:szCs w:val="18"/>
    </w:rPr>
  </w:style>
  <w:style w:type="character" w:customStyle="1" w:styleId="9">
    <w:name w:val="标题 1 Char"/>
    <w:basedOn w:val="8"/>
    <w:link w:val="2"/>
    <w:qFormat/>
    <w:uiPriority w:val="99"/>
    <w:rPr>
      <w:rFonts w:ascii="方正小标宋简体" w:eastAsia="方正小标宋简体"/>
      <w:kern w:val="0"/>
      <w:sz w:val="24"/>
      <w:szCs w:val="24"/>
    </w:rPr>
  </w:style>
  <w:style w:type="character" w:customStyle="1" w:styleId="10">
    <w:name w:val="标题 2 Char"/>
    <w:basedOn w:val="8"/>
    <w:link w:val="3"/>
    <w:qFormat/>
    <w:uiPriority w:val="99"/>
    <w:rPr>
      <w:rFonts w:ascii="方正小标宋简体" w:eastAsia="方正小标宋简体"/>
      <w:kern w:val="0"/>
      <w:sz w:val="24"/>
      <w:szCs w:val="24"/>
    </w:rPr>
  </w:style>
  <w:style w:type="character" w:customStyle="1" w:styleId="11">
    <w:name w:val="页眉 Char"/>
    <w:basedOn w:val="8"/>
    <w:link w:val="6"/>
    <w:qFormat/>
    <w:uiPriority w:val="99"/>
    <w:rPr>
      <w:sz w:val="18"/>
      <w:szCs w:val="18"/>
    </w:rPr>
  </w:style>
  <w:style w:type="character" w:customStyle="1" w:styleId="12">
    <w:name w:val="页脚 Char"/>
    <w:basedOn w:val="8"/>
    <w:link w:val="5"/>
    <w:qFormat/>
    <w:uiPriority w:val="99"/>
    <w:rPr>
      <w:sz w:val="18"/>
      <w:szCs w:val="18"/>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91CB7-033B-4C9A-A39D-4BAA5094AAFD}">
  <ds:schemaRefs/>
</ds:datastoreItem>
</file>

<file path=docProps/app.xml><?xml version="1.0" encoding="utf-8"?>
<Properties xmlns="http://schemas.openxmlformats.org/officeDocument/2006/extended-properties" xmlns:vt="http://schemas.openxmlformats.org/officeDocument/2006/docPropsVTypes">
  <Template>Normal</Template>
  <Pages>17</Pages>
  <Words>5316</Words>
  <Characters>6355</Characters>
  <Lines>46</Lines>
  <Paragraphs>12</Paragraphs>
  <TotalTime>92</TotalTime>
  <ScaleCrop>false</ScaleCrop>
  <LinksUpToDate>false</LinksUpToDate>
  <CharactersWithSpaces>6390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2024-07-29T03:03:00Z</dcterms:created>
  <dc:creator>office</dc:creator>
  <cp:lastModifiedBy>Lenovo</cp:lastModifiedBy>
  <cp:lastPrinted>2024-08-29T01:27:27Z</cp:lastPrinted>
  <dcterms:modified xsi:type="dcterms:W3CDTF">2024-08-29T01:30:15Z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3DCFA60CFB114D7C986F40C31E25989D_13</vt:lpwstr>
  </property>
</Properties>
</file>