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F4F56">
      <w:pPr>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547C7EB7">
      <w:pPr>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13104403">
      <w:pPr>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2354AAD2">
      <w:pPr>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680599E0">
      <w:pPr>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794A1B1C">
      <w:pPr>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7C11268B">
      <w:pPr>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5C6B0C57">
      <w:pPr>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kern w:val="0"/>
          <w:sz w:val="48"/>
          <w:szCs w:val="48"/>
          <w:highlight w:val="none"/>
          <w:lang w:val="zh-CN"/>
        </w:rPr>
      </w:pPr>
    </w:p>
    <w:p w14:paraId="31FE96DC">
      <w:pPr>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中国国际贸易促进委员会天津市分会（中国国际商会天津商会）商事法律服务中心2023年度部门决算</w:t>
      </w:r>
    </w:p>
    <w:p w14:paraId="1239FC47">
      <w:pPr>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56C35EA2">
      <w:pPr>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63432D86">
      <w:pPr>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2BF98AA8">
      <w:pPr>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07F40E2D">
      <w:pPr>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sz w:val="30"/>
          <w:szCs w:val="30"/>
          <w:highlight w:val="none"/>
        </w:rPr>
      </w:pPr>
    </w:p>
    <w:p w14:paraId="24C3540D">
      <w:pPr>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3F5EC538">
      <w:pPr>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313D21E2">
      <w:pPr>
        <w:pageBreakBefore w:val="0"/>
        <w:widowControl w:val="0"/>
        <w:kinsoku/>
        <w:wordWrap/>
        <w:overflowPunct/>
        <w:topLinePunct w:val="0"/>
        <w:autoSpaceDE w:val="0"/>
        <w:autoSpaceDN w:val="0"/>
        <w:bidi w:val="0"/>
        <w:adjustRightInd w:val="0"/>
        <w:snapToGrid/>
        <w:spacing w:line="600" w:lineRule="exact"/>
        <w:jc w:val="left"/>
        <w:textAlignment w:val="auto"/>
        <w:rPr>
          <w:rFonts w:ascii="Times New Roman" w:hAnsi="Times New Roman" w:eastAsia="黑体" w:cs="黑体"/>
          <w:kern w:val="0"/>
          <w:sz w:val="30"/>
          <w:szCs w:val="30"/>
          <w:highlight w:val="none"/>
        </w:rPr>
      </w:pPr>
    </w:p>
    <w:p w14:paraId="11C20B46">
      <w:pPr>
        <w:pageBreakBefore w:val="0"/>
        <w:widowControl w:val="0"/>
        <w:tabs>
          <w:tab w:val="right" w:leader="dot" w:pos="8306"/>
        </w:tabs>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14:paraId="4FDC7895">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14:paraId="0DC92BFD">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14:paraId="0B962423">
      <w:pPr>
        <w:pageBreakBefore w:val="0"/>
        <w:widowControl w:val="0"/>
        <w:tabs>
          <w:tab w:val="right" w:leader="dot" w:pos="8306"/>
        </w:tabs>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14:paraId="77342700">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14:paraId="1A6A0A33">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14:paraId="6F578890">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14:paraId="54EB36C4">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14:paraId="343C9196">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14:paraId="3044E015">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14:paraId="51A7A69D">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14:paraId="56DDCB3C">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14:paraId="1A7CAA0F">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14:paraId="584DAB13">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14:paraId="5F78E66E">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14:paraId="69833656">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14:paraId="6A59623B">
      <w:pPr>
        <w:pageBreakBefore w:val="0"/>
        <w:widowControl w:val="0"/>
        <w:tabs>
          <w:tab w:val="right" w:leader="dot" w:pos="8306"/>
        </w:tabs>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14:paraId="1367449A">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14:paraId="7FEA3D35">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14:paraId="7AB651F5">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14:paraId="20854173">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14:paraId="1A04EAF9">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14:paraId="338899F3">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14:paraId="01FD3050">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14:paraId="505CA19B">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14:paraId="223343B2">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14:paraId="1D28C6E4">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14:paraId="6256EF39">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14:paraId="4DD0A8DC">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14:paraId="145F6E43">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14:paraId="06C3F783">
      <w:pPr>
        <w:pageBreakBefore w:val="0"/>
        <w:widowControl w:val="0"/>
        <w:tabs>
          <w:tab w:val="right" w:leader="dot" w:pos="8306"/>
        </w:tabs>
        <w:kinsoku/>
        <w:wordWrap/>
        <w:overflowPunct/>
        <w:topLinePunct w:val="0"/>
        <w:autoSpaceDE w:val="0"/>
        <w:autoSpaceDN w:val="0"/>
        <w:bidi w:val="0"/>
        <w:adjustRightInd w:val="0"/>
        <w:snapToGrid/>
        <w:spacing w:line="600" w:lineRule="exact"/>
        <w:ind w:left="220"/>
        <w:jc w:val="left"/>
        <w:textAlignment w:val="auto"/>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14:paraId="5A1868FA">
      <w:pPr>
        <w:pageBreakBefore w:val="0"/>
        <w:widowControl w:val="0"/>
        <w:tabs>
          <w:tab w:val="right" w:leader="dot" w:pos="8306"/>
        </w:tabs>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14:paraId="26A3BAE2">
      <w:pPr>
        <w:pageBreakBefore w:val="0"/>
        <w:widowControl w:val="0"/>
        <w:kinsoku/>
        <w:wordWrap/>
        <w:overflowPunct/>
        <w:topLinePunct w:val="0"/>
        <w:autoSpaceDE w:val="0"/>
        <w:autoSpaceDN w:val="0"/>
        <w:bidi w:val="0"/>
        <w:adjustRightInd w:val="0"/>
        <w:snapToGrid/>
        <w:spacing w:line="600" w:lineRule="exact"/>
        <w:jc w:val="left"/>
        <w:textAlignment w:val="auto"/>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76259BA8">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hint="eastAsia" w:ascii="Times New Roman" w:hAnsi="Times New Roman" w:eastAsia="方正小标宋简体" w:cs="方正小标宋简体"/>
          <w:kern w:val="44"/>
          <w:sz w:val="44"/>
          <w:szCs w:val="44"/>
          <w:highlight w:val="none"/>
        </w:rPr>
      </w:pPr>
    </w:p>
    <w:p w14:paraId="7E85FA74">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hint="eastAsia" w:ascii="Times New Roman" w:hAnsi="Times New Roman" w:eastAsia="方正小标宋简体" w:cs="方正小标宋简体"/>
          <w:kern w:val="44"/>
          <w:sz w:val="44"/>
          <w:szCs w:val="44"/>
          <w:highlight w:val="none"/>
        </w:rPr>
      </w:pPr>
    </w:p>
    <w:p w14:paraId="2C856578">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hint="eastAsia" w:ascii="Times New Roman" w:hAnsi="Times New Roman" w:eastAsia="方正小标宋简体" w:cs="方正小标宋简体"/>
          <w:kern w:val="44"/>
          <w:sz w:val="44"/>
          <w:szCs w:val="44"/>
          <w:highlight w:val="none"/>
        </w:rPr>
      </w:pPr>
    </w:p>
    <w:p w14:paraId="5131091D">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hint="eastAsia" w:ascii="Times New Roman" w:hAnsi="Times New Roman" w:eastAsia="方正小标宋简体" w:cs="方正小标宋简体"/>
          <w:kern w:val="44"/>
          <w:sz w:val="44"/>
          <w:szCs w:val="44"/>
          <w:highlight w:val="none"/>
        </w:rPr>
      </w:pPr>
    </w:p>
    <w:p w14:paraId="45C7A37B">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hint="eastAsia" w:ascii="Times New Roman" w:hAnsi="Times New Roman" w:eastAsia="方正小标宋简体" w:cs="方正小标宋简体"/>
          <w:kern w:val="44"/>
          <w:sz w:val="44"/>
          <w:szCs w:val="44"/>
          <w:highlight w:val="none"/>
        </w:rPr>
      </w:pPr>
    </w:p>
    <w:p w14:paraId="2CC0C0EE">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hint="eastAsia" w:ascii="Times New Roman" w:hAnsi="Times New Roman" w:eastAsia="方正小标宋简体" w:cs="方正小标宋简体"/>
          <w:kern w:val="44"/>
          <w:sz w:val="44"/>
          <w:szCs w:val="44"/>
          <w:highlight w:val="none"/>
        </w:rPr>
      </w:pPr>
    </w:p>
    <w:p w14:paraId="26B0293A">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hint="eastAsia" w:ascii="Times New Roman" w:hAnsi="Times New Roman" w:eastAsia="方正小标宋简体" w:cs="方正小标宋简体"/>
          <w:kern w:val="44"/>
          <w:sz w:val="44"/>
          <w:szCs w:val="44"/>
          <w:highlight w:val="none"/>
        </w:rPr>
      </w:pPr>
    </w:p>
    <w:p w14:paraId="31F855BD">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hint="eastAsia" w:ascii="Times New Roman" w:hAnsi="Times New Roman" w:eastAsia="方正小标宋简体" w:cs="方正小标宋简体"/>
          <w:kern w:val="44"/>
          <w:sz w:val="44"/>
          <w:szCs w:val="44"/>
          <w:highlight w:val="none"/>
        </w:rPr>
      </w:pPr>
    </w:p>
    <w:p w14:paraId="735C3111">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hint="eastAsia" w:ascii="Times New Roman" w:hAnsi="Times New Roman" w:eastAsia="方正小标宋简体" w:cs="方正小标宋简体"/>
          <w:kern w:val="44"/>
          <w:sz w:val="44"/>
          <w:szCs w:val="44"/>
          <w:highlight w:val="none"/>
        </w:rPr>
      </w:pPr>
    </w:p>
    <w:p w14:paraId="3EE42646">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4C5E2838">
      <w:pPr>
        <w:pageBreakBefore w:val="0"/>
        <w:widowControl w:val="0"/>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24"/>
          <w:szCs w:val="24"/>
          <w:highlight w:val="none"/>
        </w:rPr>
      </w:pPr>
    </w:p>
    <w:p w14:paraId="3122B355">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0D4794CE">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开展经济贸易争议、纠纷调解服务；开展企业合规、国际经贸摩擦预警和应对、涉外经贸法律培训等相关法律服务；依授权承担海事、贸易仲裁相关咨询服务；开展海外知识产权风险预警与应对指导服务以及海外知识产权保护相关培训，帮助企业培育自主品牌，为企业提供海外知识产权维权援助服务;办理出口商品原产地证明书;办理涉外经贸文件证明和领事认证；办理暂准进口货物单证册(ATA单证册);开展贸易推广交流服务；完成市贸促会（天津国际商会）交办的其他任务。</w:t>
      </w:r>
    </w:p>
    <w:p w14:paraId="109AEB75">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44ABE6A7">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中国国际贸易促进委员会天津市分会（中国国际商会天津商会）商事法律服务中心</w:t>
      </w:r>
      <w:r>
        <w:rPr>
          <w:rFonts w:hint="eastAsia" w:ascii="Times New Roman" w:hAnsi="Times New Roman" w:eastAsia="仿宋_GB2312" w:cs="仿宋_GB2312"/>
          <w:kern w:val="0"/>
          <w:sz w:val="30"/>
          <w:szCs w:val="30"/>
          <w:highlight w:val="none"/>
        </w:rPr>
        <w:t>内设</w:t>
      </w:r>
      <w:r>
        <w:rPr>
          <w:rFonts w:hint="eastAsia" w:ascii="Times New Roman" w:hAnsi="Times New Roman" w:eastAsia="仿宋_GB2312" w:cs="仿宋_GB2312"/>
          <w:kern w:val="0"/>
          <w:sz w:val="30"/>
          <w:szCs w:val="30"/>
          <w:highlight w:val="none"/>
          <w:lang w:eastAsia="zh-CN"/>
        </w:rPr>
        <w:t>5</w:t>
      </w:r>
      <w:r>
        <w:rPr>
          <w:rFonts w:hint="eastAsia" w:ascii="Times New Roman" w:hAnsi="Times New Roman" w:eastAsia="仿宋_GB2312" w:cs="仿宋_GB2312"/>
          <w:kern w:val="0"/>
          <w:sz w:val="30"/>
          <w:szCs w:val="30"/>
          <w:highlight w:val="none"/>
        </w:rPr>
        <w:t>个</w:t>
      </w:r>
      <w:r>
        <w:rPr>
          <w:rFonts w:hint="eastAsia" w:ascii="Times New Roman" w:hAnsi="Times New Roman" w:eastAsia="仿宋_GB2312" w:cs="仿宋_GB2312"/>
          <w:kern w:val="0"/>
          <w:sz w:val="30"/>
          <w:szCs w:val="30"/>
          <w:highlight w:val="none"/>
          <w:lang w:eastAsia="zh-CN"/>
        </w:rPr>
        <w:t>职能科室</w:t>
      </w:r>
      <w:r>
        <w:rPr>
          <w:rFonts w:hint="eastAsia" w:ascii="Times New Roman" w:hAnsi="Times New Roman" w:eastAsia="仿宋_GB2312" w:cs="仿宋_GB2312"/>
          <w:kern w:val="0"/>
          <w:sz w:val="30"/>
          <w:szCs w:val="30"/>
          <w:highlight w:val="none"/>
        </w:rPr>
        <w:t>；下辖</w:t>
      </w:r>
      <w:r>
        <w:rPr>
          <w:rFonts w:hint="eastAsia" w:ascii="Times New Roman" w:hAnsi="Times New Roman" w:eastAsia="仿宋_GB2312" w:cs="仿宋_GB2312"/>
          <w:kern w:val="0"/>
          <w:sz w:val="30"/>
          <w:szCs w:val="30"/>
          <w:highlight w:val="none"/>
          <w:lang w:eastAsia="zh-CN"/>
        </w:rPr>
        <w:t>0</w:t>
      </w:r>
      <w:r>
        <w:rPr>
          <w:rFonts w:hint="eastAsia" w:ascii="Times New Roman" w:hAnsi="Times New Roman" w:eastAsia="仿宋_GB2312" w:cs="仿宋_GB2312"/>
          <w:kern w:val="0"/>
          <w:sz w:val="30"/>
          <w:szCs w:val="30"/>
          <w:highlight w:val="none"/>
        </w:rPr>
        <w:t>个预算单位。纳入</w:t>
      </w:r>
      <w:r>
        <w:rPr>
          <w:rFonts w:hint="eastAsia" w:ascii="Times New Roman" w:hAnsi="Times New Roman" w:eastAsia="仿宋_GB2312" w:cs="仿宋_GB2312"/>
          <w:kern w:val="0"/>
          <w:sz w:val="30"/>
          <w:szCs w:val="30"/>
          <w:highlight w:val="none"/>
          <w:lang w:eastAsia="zh-CN"/>
        </w:rPr>
        <w:t>中国国际贸易促进委员会天津市分会（中国国际商会天津商会）商事法律服务中心2023</w:t>
      </w:r>
      <w:r>
        <w:rPr>
          <w:rFonts w:hint="eastAsia" w:ascii="Times New Roman" w:hAnsi="Times New Roman" w:eastAsia="仿宋_GB2312" w:cs="仿宋_GB2312"/>
          <w:kern w:val="0"/>
          <w:sz w:val="30"/>
          <w:szCs w:val="30"/>
          <w:highlight w:val="none"/>
        </w:rPr>
        <w:t>年度部门决算编制范围的单位包括：</w:t>
      </w:r>
    </w:p>
    <w:p w14:paraId="5E072D07">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中国国际贸易促进委员会天津市分会（中国国际商会天津商会）商事法律服务中心。</w:t>
      </w:r>
    </w:p>
    <w:p w14:paraId="3E8954C9">
      <w:pPr>
        <w:pageBreakBefore w:val="0"/>
        <w:widowControl w:val="0"/>
        <w:kinsoku/>
        <w:wordWrap/>
        <w:overflowPunct/>
        <w:topLinePunct w:val="0"/>
        <w:bidi w:val="0"/>
        <w:snapToGrid/>
        <w:spacing w:line="600" w:lineRule="exact"/>
        <w:textAlignment w:val="auto"/>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79FC48BE">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55292DF3">
      <w:pPr>
        <w:pageBreakBefore w:val="0"/>
        <w:widowControl w:val="0"/>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小标宋简体" w:cs="Times New Roman"/>
          <w:kern w:val="0"/>
          <w:sz w:val="24"/>
          <w:szCs w:val="24"/>
          <w:highlight w:val="none"/>
        </w:rPr>
      </w:pPr>
    </w:p>
    <w:p w14:paraId="3693DEB2">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10FF3C44">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2676D5DA">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6822357E">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62642D94">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4AA0CB1A">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7C03E214">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63115CEB">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4708F340">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14C62F0F">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496CB910">
      <w:pPr>
        <w:keepNext/>
        <w:keepLines/>
        <w:pageBreakBefore w:val="0"/>
        <w:widowControl w:val="0"/>
        <w:kinsoku/>
        <w:wordWrap/>
        <w:overflowPunct/>
        <w:topLinePunct w:val="0"/>
        <w:autoSpaceDE w:val="0"/>
        <w:autoSpaceDN w:val="0"/>
        <w:bidi w:val="0"/>
        <w:adjustRightInd w:val="0"/>
        <w:snapToGrid/>
        <w:spacing w:line="600" w:lineRule="exact"/>
        <w:ind w:firstLine="600"/>
        <w:jc w:val="left"/>
        <w:textAlignment w:val="auto"/>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7756AC84">
      <w:pPr>
        <w:pageBreakBefore w:val="0"/>
        <w:widowControl w:val="0"/>
        <w:kinsoku/>
        <w:wordWrap/>
        <w:overflowPunct/>
        <w:topLinePunct w:val="0"/>
        <w:autoSpaceDE w:val="0"/>
        <w:autoSpaceDN w:val="0"/>
        <w:bidi w:val="0"/>
        <w:adjustRightInd w:val="0"/>
        <w:snapToGrid/>
        <w:spacing w:line="600" w:lineRule="exact"/>
        <w:jc w:val="left"/>
        <w:textAlignment w:val="auto"/>
        <w:rPr>
          <w:rFonts w:ascii="Times New Roman" w:hAnsi="Times New Roman" w:eastAsia="楷体" w:cs="楷体"/>
          <w:kern w:val="0"/>
          <w:sz w:val="30"/>
          <w:szCs w:val="30"/>
          <w:highlight w:val="none"/>
        </w:rPr>
      </w:pPr>
    </w:p>
    <w:p w14:paraId="6C045FF9">
      <w:pPr>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ascii="Times New Roman" w:hAnsi="Times New Roman" w:eastAsia="楷体" w:cs="Times New Roman"/>
          <w:kern w:val="0"/>
          <w:sz w:val="24"/>
          <w:szCs w:val="24"/>
          <w:highlight w:val="none"/>
        </w:rPr>
        <w:t xml:space="preserve">     </w:t>
      </w:r>
      <w:r>
        <w:rPr>
          <w:rFonts w:hint="eastAsia" w:ascii="Times New Roman" w:hAnsi="Times New Roman" w:eastAsia="黑体" w:cs="黑体"/>
          <w:b/>
          <w:bCs/>
          <w:kern w:val="0"/>
          <w:sz w:val="30"/>
          <w:szCs w:val="30"/>
          <w:highlight w:val="none"/>
        </w:rPr>
        <w:t>十二、关于空表的说明</w:t>
      </w:r>
    </w:p>
    <w:p w14:paraId="3DB7C5B6">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1.中国国际贸易促进委员会天津市分会（中国国际商会天津商会）商事法律服务中心2023年度政府性基金预算财政拨款收入支出决算表为空表。</w:t>
      </w:r>
      <w:r>
        <w:rPr>
          <w:rFonts w:hint="eastAsia" w:ascii="Times New Roman" w:hAnsi="Times New Roman" w:eastAsia="仿宋_GB2312" w:cs="仿宋_GB2312"/>
          <w:kern w:val="0"/>
          <w:sz w:val="30"/>
          <w:szCs w:val="30"/>
          <w:highlight w:val="none"/>
          <w:lang w:eastAsia="zh-CN"/>
        </w:rPr>
        <w:br w:type="textWrapping"/>
      </w:r>
      <w:r>
        <w:rPr>
          <w:rFonts w:hint="default" w:ascii="Times New Roman" w:hAnsi="Times New Roman" w:eastAsia="仿宋_GB2312" w:cs="仿宋_GB2312"/>
          <w:kern w:val="0"/>
          <w:sz w:val="30"/>
          <w:szCs w:val="30"/>
          <w:highlight w:val="none"/>
          <w:lang w:eastAsia="zh-CN"/>
        </w:rPr>
        <w:t xml:space="preserve">    </w:t>
      </w:r>
      <w:r>
        <w:rPr>
          <w:rFonts w:hint="eastAsia" w:ascii="Times New Roman" w:hAnsi="Times New Roman" w:eastAsia="仿宋_GB2312" w:cs="仿宋_GB2312"/>
          <w:kern w:val="0"/>
          <w:sz w:val="30"/>
          <w:szCs w:val="30"/>
          <w:highlight w:val="none"/>
          <w:lang w:eastAsia="zh-CN"/>
        </w:rPr>
        <w:t>2.中国国际贸易促进委员会天津市分会（中国国际商会天津商会）商事法律服务中心国有资本经营预算财政拨款收入支出决算表为空表。</w:t>
      </w:r>
      <w:r>
        <w:rPr>
          <w:rFonts w:hint="eastAsia" w:ascii="Times New Roman" w:hAnsi="Times New Roman" w:eastAsia="仿宋_GB2312" w:cs="仿宋_GB2312"/>
          <w:kern w:val="0"/>
          <w:sz w:val="30"/>
          <w:szCs w:val="30"/>
          <w:highlight w:val="none"/>
          <w:lang w:eastAsia="zh-CN"/>
        </w:rPr>
        <w:br w:type="textWrapping"/>
      </w:r>
      <w:r>
        <w:rPr>
          <w:rFonts w:hint="default" w:ascii="Times New Roman" w:hAnsi="Times New Roman" w:eastAsia="仿宋_GB2312" w:cs="仿宋_GB2312"/>
          <w:kern w:val="0"/>
          <w:sz w:val="30"/>
          <w:szCs w:val="30"/>
          <w:highlight w:val="none"/>
          <w:lang w:eastAsia="zh-CN"/>
        </w:rPr>
        <w:t xml:space="preserve">    </w:t>
      </w:r>
      <w:r>
        <w:rPr>
          <w:rFonts w:hint="eastAsia" w:ascii="Times New Roman" w:hAnsi="Times New Roman" w:eastAsia="仿宋_GB2312" w:cs="仿宋_GB2312"/>
          <w:kern w:val="0"/>
          <w:sz w:val="30"/>
          <w:szCs w:val="30"/>
          <w:highlight w:val="none"/>
          <w:lang w:eastAsia="zh-CN"/>
        </w:rPr>
        <w:t>3.中国国际贸易促进委员会天津市分会（中国国际商会天津商会）商事法律服务中心财政拨款“三公”经费支出决算表为空表。</w:t>
      </w:r>
    </w:p>
    <w:p w14:paraId="1AF04AC9">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kern w:val="0"/>
          <w:sz w:val="30"/>
          <w:szCs w:val="30"/>
          <w:highlight w:val="none"/>
          <w:lang w:eastAsia="zh-CN"/>
        </w:rPr>
      </w:pPr>
    </w:p>
    <w:p w14:paraId="3BA3746F">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kern w:val="0"/>
          <w:sz w:val="30"/>
          <w:szCs w:val="30"/>
          <w:highlight w:val="none"/>
          <w:lang w:eastAsia="zh-CN"/>
        </w:rPr>
      </w:pPr>
    </w:p>
    <w:p w14:paraId="07F1ED87">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kern w:val="0"/>
          <w:sz w:val="30"/>
          <w:szCs w:val="30"/>
          <w:highlight w:val="none"/>
          <w:lang w:eastAsia="zh-CN"/>
        </w:rPr>
      </w:pPr>
    </w:p>
    <w:p w14:paraId="19841882">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kern w:val="0"/>
          <w:sz w:val="30"/>
          <w:szCs w:val="30"/>
          <w:highlight w:val="none"/>
          <w:lang w:eastAsia="zh-CN"/>
        </w:rPr>
      </w:pPr>
    </w:p>
    <w:p w14:paraId="312EE64B">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kern w:val="0"/>
          <w:sz w:val="30"/>
          <w:szCs w:val="30"/>
          <w:highlight w:val="none"/>
          <w:lang w:eastAsia="zh-CN"/>
        </w:rPr>
      </w:pPr>
    </w:p>
    <w:p w14:paraId="5A9E604F">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kern w:val="0"/>
          <w:sz w:val="30"/>
          <w:szCs w:val="30"/>
          <w:highlight w:val="none"/>
          <w:lang w:eastAsia="zh-CN"/>
        </w:rPr>
      </w:pPr>
    </w:p>
    <w:p w14:paraId="6B5EC8EA">
      <w:pPr>
        <w:keepNext w:val="0"/>
        <w:keepLines w:val="0"/>
        <w:pageBreakBefore w:val="0"/>
        <w:widowControl w:val="0"/>
        <w:kinsoku/>
        <w:wordWrap/>
        <w:overflowPunct/>
        <w:topLinePunct w:val="0"/>
        <w:autoSpaceDE w:val="0"/>
        <w:autoSpaceDN w:val="0"/>
        <w:bidi w:val="0"/>
        <w:adjustRightInd w:val="0"/>
        <w:snapToGrid/>
        <w:spacing w:line="600" w:lineRule="exact"/>
        <w:ind w:firstLine="600" w:firstLineChars="200"/>
        <w:jc w:val="left"/>
        <w:textAlignment w:val="auto"/>
        <w:rPr>
          <w:rFonts w:hint="eastAsia" w:ascii="Times New Roman" w:hAnsi="Times New Roman" w:eastAsia="仿宋_GB2312" w:cs="仿宋_GB2312"/>
          <w:kern w:val="0"/>
          <w:sz w:val="30"/>
          <w:szCs w:val="30"/>
          <w:highlight w:val="none"/>
          <w:lang w:eastAsia="zh-CN"/>
        </w:rPr>
      </w:pPr>
    </w:p>
    <w:p w14:paraId="599834A1">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方正小标宋简体" w:cs="方正小标宋简体"/>
          <w:kern w:val="44"/>
          <w:sz w:val="44"/>
          <w:szCs w:val="44"/>
          <w:highlight w:val="none"/>
        </w:rPr>
      </w:pPr>
    </w:p>
    <w:p w14:paraId="1310C239">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方正小标宋简体" w:cs="方正小标宋简体"/>
          <w:kern w:val="44"/>
          <w:sz w:val="44"/>
          <w:szCs w:val="44"/>
          <w:highlight w:val="none"/>
        </w:rPr>
      </w:pPr>
    </w:p>
    <w:p w14:paraId="3A7BDBEB">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方正小标宋简体" w:cs="方正小标宋简体"/>
          <w:kern w:val="44"/>
          <w:sz w:val="44"/>
          <w:szCs w:val="44"/>
          <w:highlight w:val="none"/>
        </w:rPr>
      </w:pPr>
    </w:p>
    <w:p w14:paraId="1D762B13">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1"/>
        <w:rPr>
          <w:rFonts w:hint="eastAsia" w:ascii="Times New Roman" w:hAnsi="Times New Roman" w:eastAsia="方正小标宋简体" w:cs="方正小标宋简体"/>
          <w:kern w:val="44"/>
          <w:sz w:val="44"/>
          <w:szCs w:val="44"/>
          <w:highlight w:val="none"/>
        </w:rPr>
      </w:pPr>
    </w:p>
    <w:p w14:paraId="6221B1E4">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1"/>
        <w:rPr>
          <w:rFonts w:hint="eastAsia" w:ascii="Times New Roman" w:hAnsi="Times New Roman" w:eastAsia="方正小标宋简体" w:cs="方正小标宋简体"/>
          <w:kern w:val="44"/>
          <w:sz w:val="44"/>
          <w:szCs w:val="44"/>
          <w:highlight w:val="none"/>
        </w:rPr>
      </w:pPr>
    </w:p>
    <w:p w14:paraId="540B0B3F">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7EAB2BB9">
      <w:pPr>
        <w:keepNext w:val="0"/>
        <w:keepLines w:val="0"/>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sz w:val="30"/>
          <w:szCs w:val="30"/>
          <w:highlight w:val="none"/>
          <w:lang w:val="zh-CN"/>
        </w:rPr>
      </w:pPr>
    </w:p>
    <w:p w14:paraId="2699F45B">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148CC3C3">
      <w:pPr>
        <w:keepNext/>
        <w:keepLines/>
        <w:pageBreakBefore w:val="0"/>
        <w:widowControl w:val="0"/>
        <w:kinsoku/>
        <w:wordWrap/>
        <w:overflowPunct/>
        <w:topLinePunct w:val="0"/>
        <w:autoSpaceDE w:val="0"/>
        <w:autoSpaceDN w:val="0"/>
        <w:bidi w:val="0"/>
        <w:adjustRightInd w:val="0"/>
        <w:snapToGrid/>
        <w:spacing w:line="600" w:lineRule="exact"/>
        <w:ind w:firstLine="600"/>
        <w:jc w:val="both"/>
        <w:textAlignment w:val="auto"/>
        <w:outlineLvl w:val="1"/>
        <w:rPr>
          <w:rFonts w:ascii="Times New Roman" w:hAnsi="Times New Roman" w:eastAsia="仿宋_GB2312" w:cs="仿宋_GB2312"/>
          <w:kern w:val="0"/>
          <w:sz w:val="30"/>
          <w:szCs w:val="30"/>
          <w:highlight w:val="none"/>
        </w:rPr>
      </w:pPr>
      <w:r>
        <w:rPr>
          <w:rFonts w:hint="eastAsia" w:ascii="Times New Roman" w:hAnsi="Times New Roman" w:eastAsia="仿宋" w:cs="仿宋"/>
          <w:kern w:val="0"/>
          <w:sz w:val="30"/>
          <w:szCs w:val="30"/>
          <w:highlight w:val="none"/>
          <w:lang w:val="zh-CN"/>
        </w:rPr>
        <w:t>中国国际贸易促进委员会天津市分会（中国国际商会天津商会）商事法律服务中心</w:t>
      </w:r>
      <w:r>
        <w:rPr>
          <w:rFonts w:hint="eastAsia" w:ascii="Times New Roman" w:hAnsi="Times New Roman" w:eastAsia="仿宋" w:cs="Times New Roman"/>
          <w:kern w:val="0"/>
          <w:sz w:val="30"/>
          <w:szCs w:val="30"/>
          <w:highlight w:val="none"/>
          <w:lang w:val="zh-CN"/>
        </w:rPr>
        <w:t>2023</w:t>
      </w:r>
      <w:r>
        <w:rPr>
          <w:rFonts w:hint="eastAsia" w:ascii="Times New Roman" w:hAnsi="Times New Roman" w:eastAsia="仿宋_GB2312" w:cs="仿宋_GB2312"/>
          <w:kern w:val="0"/>
          <w:sz w:val="30"/>
          <w:szCs w:val="30"/>
          <w:highlight w:val="none"/>
          <w:lang w:val="zh-CN"/>
        </w:rPr>
        <w:t>年度收入、支出决算总计</w:t>
      </w:r>
      <w:r>
        <w:rPr>
          <w:rFonts w:hint="eastAsia" w:ascii="Times New Roman" w:hAnsi="Times New Roman" w:eastAsia="华文中宋"/>
          <w:sz w:val="30"/>
          <w:szCs w:val="30"/>
          <w:highlight w:val="none"/>
          <w:lang w:eastAsia="zh-CN"/>
        </w:rPr>
        <w:t>3,464,244.24</w:t>
      </w:r>
      <w:r>
        <w:rPr>
          <w:rFonts w:hint="eastAsia" w:ascii="Times New Roman" w:hAnsi="Times New Roman" w:eastAsia="仿宋_GB2312" w:cs="仿宋_GB2312"/>
          <w:kern w:val="0"/>
          <w:sz w:val="30"/>
          <w:szCs w:val="30"/>
          <w:highlight w:val="none"/>
        </w:rPr>
        <w:t>元，与</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年度相比，收、支总计各</w:t>
      </w:r>
      <w:r>
        <w:rPr>
          <w:rFonts w:hint="eastAsia" w:ascii="Times New Roman" w:hAnsi="Times New Roman" w:eastAsia="仿宋_GB2312" w:cs="仿宋_GB2312"/>
          <w:sz w:val="30"/>
          <w:szCs w:val="30"/>
          <w:highlight w:val="none"/>
          <w:lang w:eastAsia="zh-CN"/>
        </w:rPr>
        <w:t>增加3,464,244.24</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2023年新纳入决算单位，无2022年度决算数对比。</w:t>
      </w:r>
    </w:p>
    <w:p w14:paraId="4537B2E3">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54E6AF1E">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2,763,686.97</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增加2,763,686.97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2023年新纳入决算单位，无2022年度决算数对比。</w:t>
      </w:r>
    </w:p>
    <w:p w14:paraId="124E691A">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221,960.00</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8.03</w:t>
      </w:r>
      <w:r>
        <w:rPr>
          <w:rFonts w:hint="eastAsia" w:ascii="Times New Roman" w:hAnsi="Times New Roman" w:eastAsia="宋体" w:cs="Times New Roman"/>
          <w:sz w:val="30"/>
          <w:szCs w:val="30"/>
          <w:highlight w:val="none"/>
          <w:lang w:eastAsia="zh-CN"/>
        </w:rPr>
        <w:t>%；</w:t>
      </w:r>
    </w:p>
    <w:p w14:paraId="1F5C2E3D">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2,459,990.00元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89.01%；</w:t>
      </w:r>
    </w:p>
    <w:p w14:paraId="5C7E8BC4">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81,736.97元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2.96%</w:t>
      </w:r>
      <w:r>
        <w:rPr>
          <w:rFonts w:hint="eastAsia" w:ascii="Times New Roman" w:hAnsi="Times New Roman" w:eastAsia="仿宋_GB2312" w:cs="仿宋_GB2312"/>
          <w:sz w:val="30"/>
          <w:szCs w:val="30"/>
          <w:highlight w:val="none"/>
          <w:lang w:val="zh-CN" w:eastAsia="zh-CN"/>
        </w:rPr>
        <w:t>。</w:t>
      </w:r>
    </w:p>
    <w:p w14:paraId="14CF1040">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2DC4FC8E">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2,582,780.58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2,582,780.58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2023年新纳入决算单位，无2022年度决算数对比。</w:t>
      </w:r>
    </w:p>
    <w:p w14:paraId="260265A5">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177,000.00元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6.85</w:t>
      </w:r>
      <w:r>
        <w:rPr>
          <w:rFonts w:hint="eastAsia" w:ascii="Times New Roman" w:hAnsi="Times New Roman" w:eastAsia="仿宋_GB2312" w:cs="仿宋_GB2312"/>
          <w:sz w:val="30"/>
          <w:szCs w:val="30"/>
          <w:highlight w:val="none"/>
          <w:lang w:eastAsia="zh-CN"/>
        </w:rPr>
        <w:t>%；</w:t>
      </w:r>
    </w:p>
    <w:p w14:paraId="70EE0C4D">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44,960.00元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占1.74%；</w:t>
      </w:r>
    </w:p>
    <w:p w14:paraId="6D4EFF4D">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default" w:ascii="Times New Roman" w:hAnsi="Times New Roman" w:eastAsia="黑体" w:cs="黑体"/>
          <w:sz w:val="30"/>
          <w:szCs w:val="30"/>
          <w:highlight w:val="none"/>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2,360,820.58元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占91.41%</w:t>
      </w:r>
      <w:r>
        <w:rPr>
          <w:rFonts w:hint="default" w:ascii="Times New Roman" w:hAnsi="Times New Roman" w:eastAsia="仿宋_GB2312" w:cs="仿宋_GB2312"/>
          <w:sz w:val="30"/>
          <w:szCs w:val="30"/>
          <w:highlight w:val="none"/>
          <w:lang w:eastAsia="zh-CN"/>
        </w:rPr>
        <w:t>。</w:t>
      </w:r>
    </w:p>
    <w:p w14:paraId="5F61B251">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4DFBC870">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221,960.00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221,960.00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2023年新纳入决算单位，无2022年度决算数对比。</w:t>
      </w:r>
    </w:p>
    <w:p w14:paraId="3DED43B2">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18C7CC5A">
      <w:pPr>
        <w:pageBreakBefore w:val="0"/>
        <w:widowControl w:val="0"/>
        <w:kinsoku/>
        <w:wordWrap/>
        <w:overflowPunct/>
        <w:topLinePunct w:val="0"/>
        <w:autoSpaceDE w:val="0"/>
        <w:autoSpaceDN w:val="0"/>
        <w:bidi w:val="0"/>
        <w:adjustRightInd w:val="0"/>
        <w:snapToGrid/>
        <w:spacing w:line="600" w:lineRule="exact"/>
        <w:ind w:left="480"/>
        <w:jc w:val="both"/>
        <w:textAlignment w:val="auto"/>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068F75AD">
      <w:pPr>
        <w:pageBreakBefore w:val="0"/>
        <w:widowControl w:val="0"/>
        <w:kinsoku/>
        <w:wordWrap/>
        <w:overflowPunct/>
        <w:topLinePunct w:val="0"/>
        <w:autoSpaceDE w:val="0"/>
        <w:autoSpaceDN w:val="0"/>
        <w:bidi w:val="0"/>
        <w:adjustRightInd w:val="0"/>
        <w:snapToGrid/>
        <w:spacing w:line="600" w:lineRule="exact"/>
        <w:ind w:firstLine="72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计221,960.00元，占本年支出合计的8.59%，与2022年度相比，一般公共预算财政拨款支出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221,960.00元，</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：2023年新纳入决算单位，无2022年度决算数对比。</w:t>
      </w:r>
    </w:p>
    <w:p w14:paraId="14420B6B">
      <w:pPr>
        <w:pageBreakBefore w:val="0"/>
        <w:widowControl w:val="0"/>
        <w:kinsoku/>
        <w:wordWrap/>
        <w:overflowPunct/>
        <w:topLinePunct w:val="0"/>
        <w:autoSpaceDE w:val="0"/>
        <w:autoSpaceDN w:val="0"/>
        <w:bidi w:val="0"/>
        <w:adjustRightInd w:val="0"/>
        <w:snapToGrid/>
        <w:spacing w:line="600" w:lineRule="exact"/>
        <w:ind w:left="480"/>
        <w:jc w:val="both"/>
        <w:textAlignment w:val="auto"/>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355B7119">
      <w:pPr>
        <w:pageBreakBefore w:val="0"/>
        <w:widowControl w:val="0"/>
        <w:kinsoku/>
        <w:wordWrap/>
        <w:overflowPunct/>
        <w:topLinePunct w:val="0"/>
        <w:autoSpaceDE w:val="0"/>
        <w:autoSpaceDN w:val="0"/>
        <w:bidi w:val="0"/>
        <w:adjustRightInd w:val="0"/>
        <w:snapToGrid/>
        <w:spacing w:line="600" w:lineRule="exact"/>
        <w:ind w:firstLine="72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221,960.00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一般公共服务支出122</w:t>
      </w:r>
      <w:r>
        <w:rPr>
          <w:rFonts w:hint="default"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eastAsia="zh-CN"/>
        </w:rPr>
        <w:t>000</w:t>
      </w:r>
      <w:r>
        <w:rPr>
          <w:rFonts w:hint="default" w:ascii="Times New Roman" w:hAnsi="Times New Roman" w:eastAsia="仿宋_GB2312" w:cs="仿宋_GB2312"/>
          <w:sz w:val="30"/>
          <w:szCs w:val="30"/>
          <w:highlight w:val="none"/>
          <w:lang w:eastAsia="zh-CN"/>
        </w:rPr>
        <w:t>.00</w:t>
      </w:r>
      <w:r>
        <w:rPr>
          <w:rFonts w:hint="eastAsia" w:ascii="Times New Roman" w:hAnsi="Times New Roman" w:eastAsia="仿宋_GB2312" w:cs="仿宋_GB2312"/>
          <w:sz w:val="30"/>
          <w:szCs w:val="30"/>
          <w:highlight w:val="none"/>
          <w:lang w:eastAsia="zh-CN"/>
        </w:rPr>
        <w:t>元，占</w:t>
      </w:r>
      <w:r>
        <w:rPr>
          <w:rFonts w:hint="eastAsia" w:ascii="Times New Roman" w:hAnsi="Times New Roman" w:eastAsia="仿宋_GB2312" w:cs="仿宋_GB2312"/>
          <w:sz w:val="30"/>
          <w:szCs w:val="30"/>
          <w:highlight w:val="none"/>
        </w:rPr>
        <w:t>一般公共预算财政拨款支出</w:t>
      </w:r>
      <w:r>
        <w:rPr>
          <w:rFonts w:hint="eastAsia" w:ascii="Times New Roman" w:hAnsi="Times New Roman" w:eastAsia="仿宋_GB2312" w:cs="仿宋_GB2312"/>
          <w:sz w:val="30"/>
          <w:szCs w:val="30"/>
          <w:highlight w:val="none"/>
          <w:lang w:eastAsia="zh-CN"/>
        </w:rPr>
        <w:t>的54.96%；卫生健康支出55</w:t>
      </w:r>
      <w:r>
        <w:rPr>
          <w:rFonts w:hint="default"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eastAsia="zh-CN"/>
        </w:rPr>
        <w:t>000</w:t>
      </w:r>
      <w:r>
        <w:rPr>
          <w:rFonts w:hint="default" w:ascii="Times New Roman" w:hAnsi="Times New Roman" w:eastAsia="仿宋_GB2312" w:cs="仿宋_GB2312"/>
          <w:sz w:val="30"/>
          <w:szCs w:val="30"/>
          <w:highlight w:val="none"/>
          <w:lang w:eastAsia="zh-CN"/>
        </w:rPr>
        <w:t>.00</w:t>
      </w:r>
      <w:r>
        <w:rPr>
          <w:rFonts w:hint="eastAsia" w:ascii="Times New Roman" w:hAnsi="Times New Roman" w:eastAsia="仿宋_GB2312" w:cs="仿宋_GB2312"/>
          <w:sz w:val="30"/>
          <w:szCs w:val="30"/>
          <w:highlight w:val="none"/>
          <w:lang w:eastAsia="zh-CN"/>
        </w:rPr>
        <w:t>元，占</w:t>
      </w:r>
      <w:r>
        <w:rPr>
          <w:rFonts w:hint="eastAsia" w:ascii="Times New Roman" w:hAnsi="Times New Roman" w:eastAsia="仿宋_GB2312" w:cs="仿宋_GB2312"/>
          <w:sz w:val="30"/>
          <w:szCs w:val="30"/>
          <w:highlight w:val="none"/>
        </w:rPr>
        <w:t>一般公共预算财政拨款支出</w:t>
      </w:r>
      <w:r>
        <w:rPr>
          <w:rFonts w:hint="eastAsia" w:ascii="Times New Roman" w:hAnsi="Times New Roman" w:eastAsia="仿宋_GB2312" w:cs="仿宋_GB2312"/>
          <w:sz w:val="30"/>
          <w:szCs w:val="30"/>
          <w:highlight w:val="none"/>
          <w:lang w:eastAsia="zh-CN"/>
        </w:rPr>
        <w:t>的24.78%；商业服务业等支出44</w:t>
      </w:r>
      <w:r>
        <w:rPr>
          <w:rFonts w:hint="default"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eastAsia="zh-CN"/>
        </w:rPr>
        <w:t>960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元，占</w:t>
      </w:r>
      <w:r>
        <w:rPr>
          <w:rFonts w:hint="eastAsia" w:ascii="Times New Roman" w:hAnsi="Times New Roman" w:eastAsia="仿宋_GB2312" w:cs="仿宋_GB2312"/>
          <w:sz w:val="30"/>
          <w:szCs w:val="30"/>
          <w:highlight w:val="none"/>
        </w:rPr>
        <w:t>一般公共预算财政拨款支出</w:t>
      </w:r>
      <w:r>
        <w:rPr>
          <w:rFonts w:hint="eastAsia" w:ascii="Times New Roman" w:hAnsi="Times New Roman" w:eastAsia="仿宋_GB2312" w:cs="仿宋_GB2312"/>
          <w:sz w:val="30"/>
          <w:szCs w:val="30"/>
          <w:highlight w:val="none"/>
          <w:lang w:eastAsia="zh-CN"/>
        </w:rPr>
        <w:t>的20.26%。</w:t>
      </w:r>
    </w:p>
    <w:p w14:paraId="276F3B2D">
      <w:pPr>
        <w:pageBreakBefore w:val="0"/>
        <w:widowControl w:val="0"/>
        <w:kinsoku/>
        <w:wordWrap/>
        <w:overflowPunct/>
        <w:topLinePunct w:val="0"/>
        <w:autoSpaceDE w:val="0"/>
        <w:autoSpaceDN w:val="0"/>
        <w:bidi w:val="0"/>
        <w:adjustRightInd w:val="0"/>
        <w:snapToGrid/>
        <w:spacing w:line="600" w:lineRule="exact"/>
        <w:ind w:left="480"/>
        <w:jc w:val="both"/>
        <w:textAlignment w:val="auto"/>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157709ED">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177,000.00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221,960.00</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125.4%</w:t>
      </w:r>
      <w:r>
        <w:rPr>
          <w:rFonts w:hint="eastAsia" w:ascii="Times New Roman" w:hAnsi="Times New Roman" w:eastAsia="仿宋_GB2312" w:cs="仿宋_GB2312"/>
          <w:kern w:val="0"/>
          <w:sz w:val="30"/>
          <w:szCs w:val="30"/>
          <w:highlight w:val="none"/>
        </w:rPr>
        <w:t>。其中：</w:t>
      </w:r>
    </w:p>
    <w:p w14:paraId="0766C55C">
      <w:pPr>
        <w:pageBreakBefore w:val="0"/>
        <w:widowControl w:val="0"/>
        <w:kinsoku/>
        <w:wordWrap/>
        <w:overflowPunct/>
        <w:topLinePunct w:val="0"/>
        <w:autoSpaceDE w:val="0"/>
        <w:autoSpaceDN w:val="0"/>
        <w:bidi w:val="0"/>
        <w:adjustRightInd w:val="0"/>
        <w:snapToGrid/>
        <w:spacing w:line="600" w:lineRule="exact"/>
        <w:ind w:firstLine="600" w:firstLineChars="200"/>
        <w:jc w:val="both"/>
        <w:textAlignment w:val="auto"/>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1.一般公共服务支出（类）商贸事务（款）行政运行 （项）年初预算为122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元，支出决算为122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元，完成年初预算的100%。</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2.卫生健康支出（类）行政事业单位医疗（款）其他行政事业单位医疗支出（项）年初预算55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元，支出决算为55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元，完成年初预算的100%。</w:t>
      </w:r>
      <w:r>
        <w:rPr>
          <w:rFonts w:hint="eastAsia" w:ascii="Times New Roman" w:hAnsi="Times New Roman" w:eastAsia="仿宋_GB2312" w:cs="仿宋_GB2312"/>
          <w:sz w:val="30"/>
          <w:szCs w:val="30"/>
          <w:highlight w:val="none"/>
          <w:lang w:eastAsia="zh-CN"/>
        </w:rPr>
        <w:br w:type="textWrapping"/>
      </w:r>
      <w:r>
        <w:rPr>
          <w:rFonts w:hint="eastAsia" w:ascii="Times New Roman" w:hAnsi="Times New Roman" w:eastAsia="仿宋_GB2312" w:cs="仿宋_GB2312"/>
          <w:sz w:val="30"/>
          <w:szCs w:val="30"/>
          <w:highlight w:val="none"/>
          <w:lang w:val="en-US" w:eastAsia="zh-CN"/>
        </w:rPr>
        <w:t xml:space="preserve">    </w:t>
      </w:r>
      <w:r>
        <w:rPr>
          <w:rFonts w:hint="eastAsia" w:ascii="Times New Roman" w:hAnsi="Times New Roman" w:eastAsia="仿宋_GB2312" w:cs="仿宋_GB2312"/>
          <w:sz w:val="30"/>
          <w:szCs w:val="30"/>
          <w:highlight w:val="none"/>
          <w:lang w:eastAsia="zh-CN"/>
        </w:rPr>
        <w:t>3.商业服务业等支出（类）商业流通事务（款）其他商业流通事务支出（项）年初预算0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元，支出决算为44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960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元，决算数大于年初预算数的主要原因是年中追加退休人员抚恤金项目。</w:t>
      </w:r>
    </w:p>
    <w:p w14:paraId="6A7D5F4D">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722E9F67">
      <w:pPr>
        <w:keepNext w:val="0"/>
        <w:keepLines w:val="0"/>
        <w:pageBreakBefore w:val="0"/>
        <w:widowControl w:val="0"/>
        <w:kinsoku/>
        <w:wordWrap/>
        <w:overflowPunct/>
        <w:topLinePunct w:val="0"/>
        <w:autoSpaceDE w:val="0"/>
        <w:autoSpaceDN w:val="0"/>
        <w:bidi w:val="0"/>
        <w:adjustRightInd w:val="0"/>
        <w:snapToGrid/>
        <w:spacing w:line="640" w:lineRule="exact"/>
        <w:ind w:firstLine="600" w:firstLineChars="200"/>
        <w:jc w:val="both"/>
        <w:textAlignment w:val="auto"/>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177,000.00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177,000.00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2023年新纳入决算单位，无2022年度决算数对比。</w:t>
      </w:r>
      <w:r>
        <w:rPr>
          <w:rFonts w:hint="eastAsia" w:ascii="Times New Roman" w:hAnsi="Times New Roman" w:eastAsia="仿宋_GB2312" w:cs="仿宋_GB2312"/>
          <w:kern w:val="0"/>
          <w:sz w:val="30"/>
          <w:szCs w:val="30"/>
          <w:highlight w:val="none"/>
        </w:rPr>
        <w:t>其中：</w:t>
      </w:r>
    </w:p>
    <w:p w14:paraId="433425C2">
      <w:pPr>
        <w:keepNext w:val="0"/>
        <w:keepLines w:val="0"/>
        <w:pageBreakBefore w:val="0"/>
        <w:widowControl w:val="0"/>
        <w:kinsoku/>
        <w:wordWrap/>
        <w:overflowPunct/>
        <w:topLinePunct w:val="0"/>
        <w:autoSpaceDE w:val="0"/>
        <w:autoSpaceDN w:val="0"/>
        <w:bidi w:val="0"/>
        <w:adjustRightInd w:val="0"/>
        <w:snapToGrid/>
        <w:spacing w:line="640" w:lineRule="exact"/>
        <w:ind w:firstLine="600" w:firstLineChars="200"/>
        <w:jc w:val="both"/>
        <w:textAlignment w:val="auto"/>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153,000.00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eastAsia="zh-CN"/>
        </w:rPr>
        <w:t>主要包括退休费及医疗费补助。</w:t>
      </w:r>
    </w:p>
    <w:p w14:paraId="3EA8EF55">
      <w:pPr>
        <w:keepNext w:val="0"/>
        <w:keepLines w:val="0"/>
        <w:pageBreakBefore w:val="0"/>
        <w:widowControl w:val="0"/>
        <w:kinsoku/>
        <w:wordWrap/>
        <w:overflowPunct/>
        <w:topLinePunct w:val="0"/>
        <w:autoSpaceDE w:val="0"/>
        <w:autoSpaceDN w:val="0"/>
        <w:bidi w:val="0"/>
        <w:adjustRightInd w:val="0"/>
        <w:snapToGrid/>
        <w:spacing w:line="640" w:lineRule="exact"/>
        <w:ind w:firstLine="600" w:firstLineChars="20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24,000.00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eastAsia="zh-CN"/>
        </w:rPr>
        <w:t>主要包括福利费和其他商品和服务支出。</w:t>
      </w:r>
      <w:bookmarkStart w:id="0" w:name="_GoBack"/>
      <w:bookmarkEnd w:id="0"/>
    </w:p>
    <w:p w14:paraId="569A2530">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496E1701">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1EF25B58">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320D6BB2">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中国国际贸易促进委员会天津市分会（中国国际商会天津商会）商事法律服务中心2023年度无国有资本经营预算财政拨款收入、支出和结转结余。</w:t>
      </w:r>
    </w:p>
    <w:p w14:paraId="4DE37E7F">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2FC1AD21">
      <w:pPr>
        <w:pageBreakBefore w:val="0"/>
        <w:widowControl w:val="0"/>
        <w:kinsoku/>
        <w:wordWrap/>
        <w:overflowPunct/>
        <w:topLinePunct w:val="0"/>
        <w:autoSpaceDE w:val="0"/>
        <w:autoSpaceDN w:val="0"/>
        <w:bidi w:val="0"/>
        <w:adjustRightInd w:val="0"/>
        <w:snapToGrid/>
        <w:spacing w:line="600" w:lineRule="exact"/>
        <w:ind w:firstLine="602"/>
        <w:jc w:val="both"/>
        <w:textAlignment w:val="auto"/>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00E4E4DF">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本年度未用财政拨款经费列支“三公”经费。</w:t>
      </w:r>
    </w:p>
    <w:p w14:paraId="23F3B294">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440D2520">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本年度未用财政拨款经费列支因公出国（境）费。</w:t>
      </w:r>
    </w:p>
    <w:p w14:paraId="7378F35C">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48DD0C47">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lang w:val="en-US" w:eastAsia="zh-CN"/>
        </w:rPr>
        <w:t>较</w:t>
      </w:r>
      <w:r>
        <w:rPr>
          <w:rFonts w:hint="eastAsia" w:ascii="Times New Roman" w:hAnsi="Times New Roman" w:eastAsia="仿宋_GB2312" w:cs="仿宋_GB2312"/>
          <w:kern w:val="0"/>
          <w:sz w:val="30"/>
          <w:szCs w:val="30"/>
          <w:highlight w:val="none"/>
          <w:lang w:eastAsia="zh-CN"/>
        </w:rPr>
        <w:t>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rPr>
        <w:t>其中：</w:t>
      </w:r>
    </w:p>
    <w:p w14:paraId="6D52F9B5">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且较上半年持平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p>
    <w:p w14:paraId="367D5D36">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36E9B0EC">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本年度未用财政拨款经费列支公务用车购置费。</w:t>
      </w:r>
    </w:p>
    <w:p w14:paraId="2614F6BB">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5B85AFE7">
      <w:pPr>
        <w:pageBreakBefore w:val="0"/>
        <w:widowControl w:val="0"/>
        <w:kinsoku/>
        <w:wordWrap/>
        <w:overflowPunct/>
        <w:topLinePunct w:val="0"/>
        <w:autoSpaceDE w:val="0"/>
        <w:autoSpaceDN w:val="0"/>
        <w:bidi w:val="0"/>
        <w:adjustRightInd w:val="0"/>
        <w:snapToGrid/>
        <w:spacing w:line="600" w:lineRule="exact"/>
        <w:ind w:firstLine="645"/>
        <w:jc w:val="both"/>
        <w:textAlignment w:val="auto"/>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eastAsia="zh-CN"/>
        </w:rPr>
        <w:t>且</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本年度未用财政拨款经费列支公务接待费。</w:t>
      </w:r>
    </w:p>
    <w:p w14:paraId="7E38ACE8">
      <w:pPr>
        <w:pageBreakBefore w:val="0"/>
        <w:widowControl w:val="0"/>
        <w:kinsoku/>
        <w:wordWrap/>
        <w:overflowPunct/>
        <w:topLinePunct w:val="0"/>
        <w:autoSpaceDE w:val="0"/>
        <w:autoSpaceDN w:val="0"/>
        <w:bidi w:val="0"/>
        <w:adjustRightInd w:val="0"/>
        <w:snapToGrid/>
        <w:spacing w:line="600" w:lineRule="exact"/>
        <w:ind w:firstLine="645"/>
        <w:jc w:val="both"/>
        <w:textAlignment w:val="auto"/>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51EBB587">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06DC5F14">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kern w:val="0"/>
          <w:sz w:val="30"/>
          <w:szCs w:val="30"/>
          <w:highlight w:val="none"/>
        </w:rPr>
        <w:t>机关运行经费是指行政单位和参照公务员法管理的事业单位使用一般公共预算财政拨款安排的基本支出中的日常公用经费支出，</w:t>
      </w: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中国国际贸易促进委员会天津市分会（中国国际商会天津商会）商事法律服务中心2023年度无机关运行经费。机关运行经费支出口径应在专业名词解释中予以说明。</w:t>
      </w:r>
    </w:p>
    <w:p w14:paraId="2CCC4F05">
      <w:pPr>
        <w:keepNext/>
        <w:keepLines/>
        <w:pageBreakBefore w:val="0"/>
        <w:widowControl w:val="0"/>
        <w:kinsoku/>
        <w:wordWrap/>
        <w:overflowPunct/>
        <w:topLinePunct w:val="0"/>
        <w:autoSpaceDE w:val="0"/>
        <w:autoSpaceDN w:val="0"/>
        <w:bidi w:val="0"/>
        <w:adjustRightInd w:val="0"/>
        <w:snapToGrid/>
        <w:spacing w:line="600" w:lineRule="exact"/>
        <w:ind w:firstLine="602"/>
        <w:jc w:val="both"/>
        <w:textAlignment w:val="auto"/>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750DAF8A">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中国国际贸易促进委员会天津市分会（中国国际商会天津商会）商事法律服务中心2023年度无政府采购支出。</w:t>
      </w:r>
    </w:p>
    <w:p w14:paraId="23449749">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402725E2">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中国国际贸易促进委员会天津市分会（中国国际商会天津商会）商事法律服务中心2023年度无国有资产占有使用情况说明。</w:t>
      </w:r>
    </w:p>
    <w:p w14:paraId="3A9EFCF3">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02AB6A57">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根据预算绩效管理要求，中国国际贸易促进委员会天津市分会</w:t>
      </w:r>
      <w:r>
        <w:rPr>
          <w:rFonts w:hint="eastAsia" w:ascii="Times New Roman" w:hAnsi="Times New Roman" w:eastAsia="仿宋_GB2312" w:cs="仿宋_GB2312"/>
          <w:sz w:val="30"/>
          <w:szCs w:val="30"/>
          <w:highlight w:val="none"/>
          <w:lang w:eastAsia="zh-CN"/>
        </w:rPr>
        <w:t>（中国国际商会天津商会）商事法律服务中心</w:t>
      </w:r>
      <w:r>
        <w:rPr>
          <w:rFonts w:hint="eastAsia" w:ascii="Times New Roman" w:hAnsi="Times New Roman" w:eastAsia="仿宋_GB2312" w:cs="仿宋_GB2312"/>
          <w:kern w:val="0"/>
          <w:sz w:val="30"/>
          <w:szCs w:val="30"/>
          <w:highlight w:val="none"/>
        </w:rPr>
        <w:t>2023年度已</w:t>
      </w:r>
      <w:r>
        <w:rPr>
          <w:rFonts w:hint="eastAsia" w:ascii="Times New Roman" w:hAnsi="Times New Roman" w:eastAsia="仿宋_GB2312" w:cs="仿宋_GB2312"/>
          <w:kern w:val="0"/>
          <w:sz w:val="30"/>
          <w:szCs w:val="30"/>
          <w:highlight w:val="none"/>
          <w:lang w:eastAsia="zh-CN"/>
        </w:rPr>
        <w:t>对</w:t>
      </w:r>
      <w:r>
        <w:rPr>
          <w:rFonts w:hint="eastAsia" w:ascii="Times New Roman" w:hAnsi="Times New Roman" w:eastAsia="仿宋_GB2312" w:cs="仿宋_GB2312"/>
          <w:kern w:val="0"/>
          <w:sz w:val="30"/>
          <w:szCs w:val="30"/>
          <w:highlight w:val="none"/>
          <w:lang w:val="en-US" w:eastAsia="zh-CN"/>
        </w:rPr>
        <w:t>1</w:t>
      </w:r>
      <w:r>
        <w:rPr>
          <w:rFonts w:hint="eastAsia" w:ascii="Times New Roman" w:hAnsi="Times New Roman" w:eastAsia="仿宋_GB2312" w:cs="仿宋_GB2312"/>
          <w:kern w:val="0"/>
          <w:sz w:val="30"/>
          <w:szCs w:val="30"/>
          <w:highlight w:val="none"/>
        </w:rPr>
        <w:t>个市级项目开展绩效自评，涉及金额</w:t>
      </w:r>
      <w:r>
        <w:rPr>
          <w:rFonts w:hint="eastAsia" w:ascii="Times New Roman" w:hAnsi="Times New Roman" w:eastAsia="仿宋_GB2312" w:cs="仿宋_GB2312"/>
          <w:kern w:val="0"/>
          <w:sz w:val="30"/>
          <w:szCs w:val="30"/>
          <w:highlight w:val="none"/>
          <w:lang w:val="en-US" w:eastAsia="zh-CN"/>
        </w:rPr>
        <w:t>44,960.00</w:t>
      </w:r>
      <w:r>
        <w:rPr>
          <w:rFonts w:hint="eastAsia" w:ascii="Times New Roman" w:hAnsi="Times New Roman" w:eastAsia="仿宋_GB2312" w:cs="仿宋_GB2312"/>
          <w:kern w:val="0"/>
          <w:sz w:val="30"/>
          <w:szCs w:val="30"/>
          <w:highlight w:val="none"/>
        </w:rPr>
        <w:t>元，自评结果已随部门决算一并公开；本部门2023年度未开展部门评价。</w:t>
      </w:r>
    </w:p>
    <w:p w14:paraId="494E9931">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5D97D710">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中国国际贸易促进委员会天津市分会（中国国际商会天津商会）商事法律服务中心不属于乡、镇、街级单位，不涉及公开2023年度教育、医疗卫生、社会保障和就业、住房保障、涉农补贴等民生支出情况。</w:t>
      </w:r>
    </w:p>
    <w:p w14:paraId="223E09EF">
      <w:pPr>
        <w:pageBreakBefore w:val="0"/>
        <w:widowControl w:val="0"/>
        <w:kinsoku/>
        <w:wordWrap/>
        <w:overflowPunct/>
        <w:topLinePunct w:val="0"/>
        <w:autoSpaceDE w:val="0"/>
        <w:autoSpaceDN w:val="0"/>
        <w:bidi w:val="0"/>
        <w:adjustRightInd w:val="0"/>
        <w:snapToGrid/>
        <w:spacing w:line="600" w:lineRule="exact"/>
        <w:jc w:val="both"/>
        <w:textAlignment w:val="auto"/>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0B789D7C">
      <w:pPr>
        <w:keepNext/>
        <w:keepLines/>
        <w:pageBreakBefore w:val="0"/>
        <w:widowControl w:val="0"/>
        <w:kinsoku/>
        <w:wordWrap/>
        <w:overflowPunct/>
        <w:topLinePunct w:val="0"/>
        <w:autoSpaceDE w:val="0"/>
        <w:autoSpaceDN w:val="0"/>
        <w:bidi w:val="0"/>
        <w:adjustRightInd w:val="0"/>
        <w:snapToGrid/>
        <w:spacing w:line="600" w:lineRule="exact"/>
        <w:jc w:val="center"/>
        <w:textAlignment w:val="auto"/>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名词解释</w:t>
      </w:r>
    </w:p>
    <w:p w14:paraId="39947E75">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highlight w:val="none"/>
        </w:rPr>
      </w:pPr>
    </w:p>
    <w:p w14:paraId="41528131">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0749454">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7687A0CE">
      <w:pPr>
        <w:pageBreakBefore w:val="0"/>
        <w:widowControl w:val="0"/>
        <w:kinsoku/>
        <w:wordWrap/>
        <w:overflowPunct/>
        <w:topLinePunct w:val="0"/>
        <w:autoSpaceDE w:val="0"/>
        <w:autoSpaceDN w:val="0"/>
        <w:bidi w:val="0"/>
        <w:adjustRightInd w:val="0"/>
        <w:snapToGrid/>
        <w:spacing w:line="600" w:lineRule="exact"/>
        <w:ind w:firstLine="600"/>
        <w:jc w:val="both"/>
        <w:textAlignment w:val="auto"/>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hN2ExODhlOWYwMGRhZjNjNmFmYWNhM2UyN2M5OGYifQ=="/>
    <w:docVar w:name="KSO_WPS_MARK_KEY" w:val="24a4985a-eacf-4ecd-8a78-5140e966d212"/>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870A65"/>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2FA7F7B"/>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2E50C7"/>
    <w:rsid w:val="24B227A0"/>
    <w:rsid w:val="24E26E0D"/>
    <w:rsid w:val="25BA7C7E"/>
    <w:rsid w:val="2666570F"/>
    <w:rsid w:val="26DB4B05"/>
    <w:rsid w:val="271B299E"/>
    <w:rsid w:val="27DD7C53"/>
    <w:rsid w:val="284E3F62"/>
    <w:rsid w:val="28612632"/>
    <w:rsid w:val="2A924D25"/>
    <w:rsid w:val="2BC20F83"/>
    <w:rsid w:val="2BE373BB"/>
    <w:rsid w:val="2C800474"/>
    <w:rsid w:val="2C8F0671"/>
    <w:rsid w:val="2D5A0475"/>
    <w:rsid w:val="2E487134"/>
    <w:rsid w:val="2E8C3709"/>
    <w:rsid w:val="2F146650"/>
    <w:rsid w:val="2FA13000"/>
    <w:rsid w:val="2FC74096"/>
    <w:rsid w:val="2FF951BC"/>
    <w:rsid w:val="300E5A2D"/>
    <w:rsid w:val="307A24E3"/>
    <w:rsid w:val="307A6987"/>
    <w:rsid w:val="307E6F35"/>
    <w:rsid w:val="30BB5227"/>
    <w:rsid w:val="313F372D"/>
    <w:rsid w:val="3205118C"/>
    <w:rsid w:val="32146967"/>
    <w:rsid w:val="32443D30"/>
    <w:rsid w:val="32562E86"/>
    <w:rsid w:val="32672F3B"/>
    <w:rsid w:val="33032C66"/>
    <w:rsid w:val="332D3FC0"/>
    <w:rsid w:val="332F535E"/>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3F8C4845"/>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10148E"/>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0E6140"/>
    <w:rsid w:val="643C1F0A"/>
    <w:rsid w:val="644D16E1"/>
    <w:rsid w:val="64925346"/>
    <w:rsid w:val="654D2EBE"/>
    <w:rsid w:val="654E5711"/>
    <w:rsid w:val="656942F9"/>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4DB6ECB"/>
    <w:rsid w:val="75AB44BA"/>
    <w:rsid w:val="79B7155B"/>
    <w:rsid w:val="79DC07A5"/>
    <w:rsid w:val="7ACA53E2"/>
    <w:rsid w:val="7B143565"/>
    <w:rsid w:val="7E2E7A36"/>
    <w:rsid w:val="7E703A39"/>
    <w:rsid w:val="7F3217A8"/>
    <w:rsid w:val="7F371551"/>
    <w:rsid w:val="7FDD7966"/>
    <w:rsid w:val="7FEB6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4166</Words>
  <Characters>4716</Characters>
  <Lines>82</Lines>
  <Paragraphs>23</Paragraphs>
  <TotalTime>103</TotalTime>
  <ScaleCrop>false</ScaleCrop>
  <LinksUpToDate>false</LinksUpToDate>
  <CharactersWithSpaces>4764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Lenovo</cp:lastModifiedBy>
  <cp:lastPrinted>2024-09-03T02:14:00Z</cp:lastPrinted>
  <dcterms:modified xsi:type="dcterms:W3CDTF">2024-09-12T01:31:50Z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A44E0A178634409BBBA50D5636087390_13</vt:lpwstr>
  </property>
</Properties>
</file>