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中国国际贸易促进委员会天津市分会（中国国际商会天津商会）商事法律服务中心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5"/>
          <w:headerReference w:type="default" r:id="rId26"/>
          <w:headerReference w:type="first" r:id="rId27"/>
          <w:footerReference w:type="even" r:id="rId28"/>
          <w:footerReference w:type="default" r:id="rId29"/>
          <w:footerReference w:type="first" r:id="rId3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214908849"/>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中国国际贸易促进委员会天津市分会（中国国际商会天津商会）商事法律服务中心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开展经济贸易争议、纠纷调解服务；开展企业合规、国际经贸摩擦预警和应对、涉外经贸法律培训等相关法律服务；依授权承担海事、贸易仲裁相关咨询服务；开展海外知识产权风险预警与应对指导服务以及海外知识产权保护相关培训，帮助企业培育自主品牌，为企业提供海外知识产权维权援助服务;办理出口商品原产地证明书;办理涉外经贸文件证明和领事认证；办理暂准进口货物单证册(ATA单证册);开展贸易推广交流服务；完成市贸促会（天津国际商会）交办的其他任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244589183"/>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中国国际贸易促进委员会天津市分会（中国国际商会天津商会）商事法律服务中心内设5个职能科室；下辖0个预算单位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中国国际贸易促进委员会天津市分会（中国国际商会天津商会）商事法律服务中心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中国国际贸易促进委员会天津市分会（中国国际商会天津商会）商事法律服务中心。</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1865768001"/>
      <w:bookmarkStart w:id="19" w:name="_Toc984815664"/>
      <w:bookmarkStart w:id="20" w:name="_Toc291121727"/>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201,500.00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6,373,334.30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6,132,120.00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82,215.52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snapToGrid w:val="0"/>
              <w:jc w:val="right"/>
            </w:pPr>
            <w:r>
              <w:rPr>
                <w:rFonts w:ascii="宋体" w:eastAsia="宋体" w:hAnsi="宋体" w:cs="宋体"/>
                <w:b w:val="0"/>
                <w:i w:val="0"/>
                <w:color w:val="000000"/>
                <w:sz w:val="23"/>
              </w:rPr>
              <w:t xml:space="preserve">43,500.00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6,415,835.52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6,465,834.30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78,641.52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-128,640.30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6,415,835.52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6,415,835.52</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406579313"/>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6,415,835.52</w:t>
            </w:r>
          </w:p>
        </w:tc>
        <w:tc>
          <w:tcPr>
            <w:tcW w:w="1240" w:type="dxa"/>
            <w:tcBorders/>
            <w:vAlign w:val="center"/>
          </w:tcPr>
          <w:p>
            <w:pPr>
              <w:snapToGrid w:val="0"/>
              <w:jc w:val="right"/>
            </w:pPr>
            <w:r>
              <w:rPr>
                <w:rFonts w:ascii="宋体" w:eastAsia="宋体" w:hAnsi="宋体" w:cs="宋体"/>
                <w:b w:val="0"/>
                <w:i w:val="0"/>
                <w:color w:val="000000"/>
                <w:sz w:val="14"/>
              </w:rPr>
              <w:t xml:space="preserve">201,500.00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6,132,120.00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82,215.52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6,323,335.52</w:t>
            </w:r>
          </w:p>
        </w:tc>
        <w:tc>
          <w:tcPr>
            <w:tcW w:w="1240" w:type="dxa"/>
            <w:tcBorders/>
            <w:vAlign w:val="center"/>
          </w:tcPr>
          <w:p>
            <w:pPr>
              <w:snapToGrid w:val="0"/>
              <w:jc w:val="right"/>
            </w:pPr>
            <w:r>
              <w:rPr>
                <w:rFonts w:ascii="宋体" w:eastAsia="宋体" w:hAnsi="宋体" w:cs="宋体"/>
                <w:b w:val="0"/>
                <w:i w:val="0"/>
                <w:color w:val="000000"/>
                <w:sz w:val="14"/>
              </w:rPr>
              <w:t xml:space="preserve">109,000.00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6,132,120.00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82,215.52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w:t>
            </w:r>
          </w:p>
        </w:tc>
        <w:tc>
          <w:tcPr>
            <w:tcW w:w="2520" w:type="dxa"/>
            <w:tcBorders/>
            <w:vAlign w:val="center"/>
          </w:tcPr>
          <w:p>
            <w:pPr>
              <w:snapToGrid w:val="0"/>
              <w:jc w:val="left"/>
            </w:pPr>
            <w:r>
              <w:rPr>
                <w:rFonts w:ascii="宋体" w:eastAsia="宋体" w:hAnsi="宋体" w:cs="宋体"/>
                <w:b w:val="0"/>
                <w:i w:val="0"/>
                <w:color w:val="000000"/>
                <w:sz w:val="14"/>
              </w:rPr>
              <w:t xml:space="preserve">商贸事务</w:t>
            </w:r>
          </w:p>
        </w:tc>
        <w:tc>
          <w:tcPr>
            <w:tcW w:w="1240" w:type="dxa"/>
            <w:tcBorders/>
            <w:vAlign w:val="center"/>
          </w:tcPr>
          <w:p>
            <w:pPr>
              <w:snapToGrid w:val="0"/>
              <w:jc w:val="right"/>
            </w:pPr>
            <w:r>
              <w:rPr>
                <w:rFonts w:ascii="宋体" w:eastAsia="宋体" w:hAnsi="宋体" w:cs="宋体"/>
                <w:b w:val="0"/>
                <w:i w:val="0"/>
                <w:color w:val="000000"/>
                <w:sz w:val="14"/>
              </w:rPr>
              <w:t xml:space="preserve">6,323,335.52</w:t>
            </w:r>
          </w:p>
        </w:tc>
        <w:tc>
          <w:tcPr>
            <w:tcW w:w="1240" w:type="dxa"/>
            <w:tcBorders/>
            <w:vAlign w:val="center"/>
          </w:tcPr>
          <w:p>
            <w:pPr>
              <w:snapToGrid w:val="0"/>
              <w:jc w:val="right"/>
            </w:pPr>
            <w:r>
              <w:rPr>
                <w:rFonts w:ascii="宋体" w:eastAsia="宋体" w:hAnsi="宋体" w:cs="宋体"/>
                <w:b w:val="0"/>
                <w:i w:val="0"/>
                <w:color w:val="000000"/>
                <w:sz w:val="14"/>
              </w:rPr>
              <w:t xml:space="preserve">109,000.00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6,132,120.00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82,215.52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109,000.00</w:t>
            </w:r>
          </w:p>
        </w:tc>
        <w:tc>
          <w:tcPr>
            <w:tcW w:w="1240" w:type="dxa"/>
            <w:tcBorders/>
            <w:vAlign w:val="center"/>
          </w:tcPr>
          <w:p>
            <w:pPr>
              <w:snapToGrid w:val="0"/>
              <w:jc w:val="right"/>
            </w:pPr>
            <w:r>
              <w:rPr>
                <w:rFonts w:ascii="宋体" w:eastAsia="宋体" w:hAnsi="宋体" w:cs="宋体"/>
                <w:b w:val="0"/>
                <w:i w:val="0"/>
                <w:color w:val="000000"/>
                <w:sz w:val="14"/>
              </w:rPr>
              <w:t xml:space="preserve">109,000.00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2011350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6,214,335.52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6,132,120.00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82,215.52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snapToGrid w:val="0"/>
              <w:jc w:val="right"/>
            </w:pPr>
            <w:r>
              <w:rPr>
                <w:rFonts w:ascii="宋体" w:eastAsia="宋体" w:hAnsi="宋体" w:cs="宋体"/>
                <w:b w:val="0"/>
                <w:i w:val="0"/>
                <w:color w:val="000000"/>
                <w:sz w:val="14"/>
              </w:rPr>
              <w:t xml:space="preserve">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w:t>
            </w:r>
          </w:p>
        </w:tc>
        <w:tc>
          <w:tcPr>
            <w:tcW w:w="2520" w:type="dxa"/>
            <w:tcBorders/>
            <w:vAlign w:val="center"/>
          </w:tcPr>
          <w:p>
            <w:pPr>
              <w:snapToGrid w:val="0"/>
              <w:jc w:val="left"/>
            </w:pPr>
            <w:r>
              <w:rPr>
                <w:rFonts w:ascii="宋体" w:eastAsia="宋体" w:hAnsi="宋体" w:cs="宋体"/>
                <w:b w:val="0"/>
                <w:i w:val="0"/>
                <w:color w:val="000000"/>
                <w:sz w:val="14"/>
              </w:rPr>
              <w:t xml:space="preserve">商业服务业等支出</w:t>
            </w:r>
          </w:p>
        </w:tc>
        <w:tc>
          <w:tcPr>
            <w:tcW w:w="1240" w:type="dxa"/>
            <w:tcBorders/>
            <w:vAlign w:val="center"/>
          </w:tcPr>
          <w:p>
            <w:pPr>
              <w:snapToGrid w:val="0"/>
              <w:jc w:val="right"/>
            </w:pPr>
            <w:r>
              <w:rPr>
                <w:rFonts w:ascii="宋体" w:eastAsia="宋体" w:hAnsi="宋体" w:cs="宋体"/>
                <w:b w:val="0"/>
                <w:i w:val="0"/>
                <w:color w:val="000000"/>
                <w:sz w:val="14"/>
              </w:rPr>
              <w:t xml:space="preserve">43,500.00</w:t>
            </w:r>
          </w:p>
        </w:tc>
        <w:tc>
          <w:tcPr>
            <w:tcW w:w="1240" w:type="dxa"/>
            <w:tcBorders/>
            <w:vAlign w:val="center"/>
          </w:tcPr>
          <w:p>
            <w:pPr>
              <w:snapToGrid w:val="0"/>
              <w:jc w:val="right"/>
            </w:pPr>
            <w:r>
              <w:rPr>
                <w:rFonts w:ascii="宋体" w:eastAsia="宋体" w:hAnsi="宋体" w:cs="宋体"/>
                <w:b w:val="0"/>
                <w:i w:val="0"/>
                <w:color w:val="000000"/>
                <w:sz w:val="14"/>
              </w:rPr>
              <w:t xml:space="preserve">43,500.00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21602</w:t>
            </w:r>
          </w:p>
        </w:tc>
        <w:tc>
          <w:tcPr>
            <w:tcW w:w="2520" w:type="dxa"/>
            <w:tcBorders/>
            <w:vAlign w:val="center"/>
          </w:tcPr>
          <w:p>
            <w:pPr>
              <w:snapToGrid w:val="0"/>
              <w:jc w:val="left"/>
            </w:pPr>
            <w:r>
              <w:rPr>
                <w:rFonts w:ascii="宋体" w:eastAsia="宋体" w:hAnsi="宋体" w:cs="宋体"/>
                <w:b w:val="0"/>
                <w:i w:val="0"/>
                <w:color w:val="000000"/>
                <w:sz w:val="14"/>
              </w:rPr>
              <w:t xml:space="preserve">商业流通事务</w:t>
            </w:r>
          </w:p>
        </w:tc>
        <w:tc>
          <w:tcPr>
            <w:tcW w:w="1240" w:type="dxa"/>
            <w:tcBorders/>
            <w:vAlign w:val="center"/>
          </w:tcPr>
          <w:p>
            <w:pPr>
              <w:snapToGrid w:val="0"/>
              <w:jc w:val="right"/>
            </w:pPr>
            <w:r>
              <w:rPr>
                <w:rFonts w:ascii="宋体" w:eastAsia="宋体" w:hAnsi="宋体" w:cs="宋体"/>
                <w:b w:val="0"/>
                <w:i w:val="0"/>
                <w:color w:val="000000"/>
                <w:sz w:val="14"/>
              </w:rPr>
              <w:t xml:space="preserve">43,500.00</w:t>
            </w:r>
          </w:p>
        </w:tc>
        <w:tc>
          <w:tcPr>
            <w:tcW w:w="1240" w:type="dxa"/>
            <w:tcBorders/>
            <w:vAlign w:val="center"/>
          </w:tcPr>
          <w:p>
            <w:pPr>
              <w:snapToGrid w:val="0"/>
              <w:jc w:val="right"/>
            </w:pPr>
            <w:r>
              <w:rPr>
                <w:rFonts w:ascii="宋体" w:eastAsia="宋体" w:hAnsi="宋体" w:cs="宋体"/>
                <w:b w:val="0"/>
                <w:i w:val="0"/>
                <w:color w:val="000000"/>
                <w:sz w:val="14"/>
              </w:rPr>
              <w:t xml:space="preserve">43,500.00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2160299</w:t>
            </w:r>
          </w:p>
        </w:tc>
        <w:tc>
          <w:tcPr>
            <w:tcW w:w="2520" w:type="dxa"/>
            <w:tcBorders/>
            <w:vAlign w:val="center"/>
          </w:tcPr>
          <w:p>
            <w:pPr>
              <w:snapToGrid w:val="0"/>
              <w:jc w:val="left"/>
            </w:pPr>
            <w:r>
              <w:rPr>
                <w:rFonts w:ascii="宋体" w:eastAsia="宋体" w:hAnsi="宋体" w:cs="宋体"/>
                <w:b w:val="0"/>
                <w:i w:val="0"/>
                <w:color w:val="000000"/>
                <w:sz w:val="14"/>
              </w:rPr>
              <w:t xml:space="preserve">其他商业流通事务支出</w:t>
            </w:r>
          </w:p>
        </w:tc>
        <w:tc>
          <w:tcPr>
            <w:tcW w:w="1240" w:type="dxa"/>
            <w:tcBorders/>
            <w:vAlign w:val="center"/>
          </w:tcPr>
          <w:p>
            <w:pPr>
              <w:snapToGrid w:val="0"/>
              <w:jc w:val="right"/>
            </w:pPr>
            <w:r>
              <w:rPr>
                <w:rFonts w:ascii="宋体" w:eastAsia="宋体" w:hAnsi="宋体" w:cs="宋体"/>
                <w:b w:val="0"/>
                <w:i w:val="0"/>
                <w:color w:val="000000"/>
                <w:sz w:val="14"/>
              </w:rPr>
              <w:t xml:space="preserve">43,500.00</w:t>
            </w:r>
          </w:p>
        </w:tc>
        <w:tc>
          <w:tcPr>
            <w:tcW w:w="1240" w:type="dxa"/>
            <w:tcBorders/>
            <w:vAlign w:val="center"/>
          </w:tcPr>
          <w:p>
            <w:pPr>
              <w:snapToGrid w:val="0"/>
              <w:jc w:val="right"/>
            </w:pPr>
            <w:r>
              <w:rPr>
                <w:rFonts w:ascii="宋体" w:eastAsia="宋体" w:hAnsi="宋体" w:cs="宋体"/>
                <w:b w:val="0"/>
                <w:i w:val="0"/>
                <w:color w:val="000000"/>
                <w:sz w:val="14"/>
              </w:rPr>
              <w:t xml:space="preserve">43,500.00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8554883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6,415,835.52</w:t>
            </w:r>
          </w:p>
        </w:tc>
        <w:tc>
          <w:tcPr>
            <w:tcW w:w="580" w:type="dxa"/>
            <w:tcBorders/>
            <w:vAlign w:val="center"/>
          </w:tcPr>
          <w:p>
            <w:pPr>
              <w:snapToGrid w:val="0"/>
              <w:jc w:val="right"/>
            </w:pPr>
            <w:r>
              <w:rPr>
                <w:rFonts w:ascii="宋体" w:eastAsia="宋体" w:hAnsi="宋体" w:cs="宋体"/>
                <w:b w:val="0"/>
                <w:i w:val="0"/>
                <w:color w:val="000000"/>
                <w:sz w:val="9"/>
              </w:rPr>
              <w:t xml:space="preserve">6,415,835.52</w:t>
            </w:r>
          </w:p>
        </w:tc>
        <w:tc>
          <w:tcPr>
            <w:tcW w:w="580" w:type="dxa"/>
            <w:tcBorders/>
            <w:vAlign w:val="center"/>
          </w:tcPr>
          <w:p>
            <w:pPr>
              <w:snapToGrid w:val="0"/>
              <w:jc w:val="right"/>
            </w:pPr>
            <w:r>
              <w:rPr>
                <w:rFonts w:ascii="宋体" w:eastAsia="宋体" w:hAnsi="宋体" w:cs="宋体"/>
                <w:b w:val="0"/>
                <w:i w:val="0"/>
                <w:color w:val="000000"/>
                <w:sz w:val="9"/>
              </w:rPr>
              <w:t xml:space="preserve">201,500.00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6,132,120.00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82,215.52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573701</w:t>
            </w:r>
          </w:p>
        </w:tc>
        <w:tc>
          <w:tcPr>
            <w:tcW w:w="1520" w:type="dxa"/>
            <w:tcBorders/>
            <w:vAlign w:val="center"/>
          </w:tcPr>
          <w:p>
            <w:pPr>
              <w:snapToGrid w:val="0"/>
              <w:jc w:val="center"/>
            </w:pPr>
            <w:r>
              <w:rPr>
                <w:rFonts w:ascii="宋体" w:eastAsia="宋体" w:hAnsi="宋体" w:cs="宋体"/>
                <w:b w:val="0"/>
                <w:i w:val="0"/>
                <w:color w:val="000000"/>
                <w:sz w:val="9"/>
              </w:rPr>
              <w:t xml:space="preserve">中国国际贸易促进委员会天津市分会（中国国际商会天津</w:t>
            </w:r>
          </w:p>
        </w:tc>
        <w:tc>
          <w:tcPr>
            <w:tcW w:w="580" w:type="dxa"/>
            <w:tcBorders/>
            <w:vAlign w:val="center"/>
          </w:tcPr>
          <w:p>
            <w:pPr>
              <w:snapToGrid w:val="0"/>
              <w:jc w:val="right"/>
            </w:pPr>
            <w:r>
              <w:rPr>
                <w:rFonts w:ascii="宋体" w:eastAsia="宋体" w:hAnsi="宋体" w:cs="宋体"/>
                <w:b w:val="0"/>
                <w:i w:val="0"/>
                <w:color w:val="000000"/>
                <w:sz w:val="9"/>
              </w:rPr>
              <w:t xml:space="preserve">6,415,835.52</w:t>
            </w:r>
          </w:p>
        </w:tc>
        <w:tc>
          <w:tcPr>
            <w:tcW w:w="580" w:type="dxa"/>
            <w:tcBorders/>
            <w:vAlign w:val="center"/>
          </w:tcPr>
          <w:p>
            <w:pPr>
              <w:snapToGrid w:val="0"/>
              <w:jc w:val="right"/>
            </w:pPr>
            <w:r>
              <w:rPr>
                <w:rFonts w:ascii="宋体" w:eastAsia="宋体" w:hAnsi="宋体" w:cs="宋体"/>
                <w:b w:val="0"/>
                <w:i w:val="0"/>
                <w:color w:val="000000"/>
                <w:sz w:val="9"/>
              </w:rPr>
              <w:t xml:space="preserve">6,415,835.52</w:t>
            </w:r>
          </w:p>
        </w:tc>
        <w:tc>
          <w:tcPr>
            <w:tcW w:w="580" w:type="dxa"/>
            <w:tcBorders/>
            <w:vAlign w:val="center"/>
          </w:tcPr>
          <w:p>
            <w:pPr>
              <w:snapToGrid w:val="0"/>
              <w:jc w:val="right"/>
            </w:pPr>
            <w:r>
              <w:rPr>
                <w:rFonts w:ascii="宋体" w:eastAsia="宋体" w:hAnsi="宋体" w:cs="宋体"/>
                <w:b w:val="0"/>
                <w:i w:val="0"/>
                <w:color w:val="000000"/>
                <w:sz w:val="9"/>
              </w:rPr>
              <w:t xml:space="preserve">201,500.00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6,132,120.00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82,215.52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52743616"/>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6,465,834.30</w:t>
            </w:r>
          </w:p>
        </w:tc>
        <w:tc>
          <w:tcPr>
            <w:tcW w:w="1320" w:type="dxa"/>
            <w:tcBorders/>
            <w:vAlign w:val="center"/>
          </w:tcPr>
          <w:p>
            <w:pPr>
              <w:snapToGrid w:val="0"/>
              <w:jc w:val="right"/>
            </w:pPr>
            <w:r>
              <w:rPr>
                <w:rFonts w:ascii="宋体" w:eastAsia="宋体" w:hAnsi="宋体" w:cs="宋体"/>
                <w:b w:val="0"/>
                <w:i w:val="0"/>
                <w:color w:val="000000"/>
                <w:sz w:val="15"/>
              </w:rPr>
              <w:t xml:space="preserve">161,574.00</w:t>
            </w: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6,260,760.30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6,373,334.30</w:t>
            </w:r>
          </w:p>
        </w:tc>
        <w:tc>
          <w:tcPr>
            <w:tcW w:w="1320" w:type="dxa"/>
            <w:tcBorders/>
            <w:vAlign w:val="center"/>
          </w:tcPr>
          <w:p>
            <w:pPr>
              <w:snapToGrid w:val="0"/>
              <w:jc w:val="right"/>
            </w:pPr>
            <w:r>
              <w:rPr>
                <w:rFonts w:ascii="宋体" w:eastAsia="宋体" w:hAnsi="宋体" w:cs="宋体"/>
                <w:b w:val="0"/>
                <w:i w:val="0"/>
                <w:color w:val="000000"/>
                <w:sz w:val="15"/>
              </w:rPr>
              <w:t xml:space="preserve">112,574.00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6,260,760.30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w:t>
            </w:r>
          </w:p>
        </w:tc>
        <w:tc>
          <w:tcPr>
            <w:tcW w:w="4400" w:type="dxa"/>
            <w:tcBorders/>
            <w:vAlign w:val="center"/>
          </w:tcPr>
          <w:p>
            <w:pPr>
              <w:snapToGrid w:val="0"/>
              <w:jc w:val="left"/>
            </w:pPr>
            <w:r>
              <w:rPr>
                <w:rFonts w:ascii="宋体" w:eastAsia="宋体" w:hAnsi="宋体" w:cs="宋体"/>
                <w:b w:val="0"/>
                <w:i w:val="0"/>
                <w:color w:val="000000"/>
                <w:sz w:val="15"/>
              </w:rPr>
              <w:t xml:space="preserve">商贸事务</w:t>
            </w:r>
          </w:p>
        </w:tc>
        <w:tc>
          <w:tcPr>
            <w:tcW w:w="1320" w:type="dxa"/>
            <w:tcBorders/>
            <w:vAlign w:val="center"/>
          </w:tcPr>
          <w:p>
            <w:pPr>
              <w:snapToGrid w:val="0"/>
              <w:jc w:val="right"/>
            </w:pPr>
            <w:r>
              <w:rPr>
                <w:rFonts w:ascii="宋体" w:eastAsia="宋体" w:hAnsi="宋体" w:cs="宋体"/>
                <w:b w:val="0"/>
                <w:i w:val="0"/>
                <w:color w:val="000000"/>
                <w:sz w:val="15"/>
              </w:rPr>
              <w:t xml:space="preserve">6,373,334.30</w:t>
            </w:r>
          </w:p>
        </w:tc>
        <w:tc>
          <w:tcPr>
            <w:tcW w:w="1320" w:type="dxa"/>
            <w:tcBorders/>
            <w:vAlign w:val="center"/>
          </w:tcPr>
          <w:p>
            <w:pPr>
              <w:snapToGrid w:val="0"/>
              <w:jc w:val="right"/>
            </w:pPr>
            <w:r>
              <w:rPr>
                <w:rFonts w:ascii="宋体" w:eastAsia="宋体" w:hAnsi="宋体" w:cs="宋体"/>
                <w:b w:val="0"/>
                <w:i w:val="0"/>
                <w:color w:val="000000"/>
                <w:sz w:val="15"/>
              </w:rPr>
              <w:t xml:space="preserve">112,574.00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6,260,760.30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109,000.00</w:t>
            </w:r>
          </w:p>
        </w:tc>
        <w:tc>
          <w:tcPr>
            <w:tcW w:w="1320" w:type="dxa"/>
            <w:tcBorders/>
            <w:vAlign w:val="center"/>
          </w:tcPr>
          <w:p>
            <w:pPr>
              <w:snapToGrid w:val="0"/>
              <w:jc w:val="right"/>
            </w:pPr>
            <w:r>
              <w:rPr>
                <w:rFonts w:ascii="宋体" w:eastAsia="宋体" w:hAnsi="宋体" w:cs="宋体"/>
                <w:b w:val="0"/>
                <w:i w:val="0"/>
                <w:color w:val="000000"/>
                <w:sz w:val="15"/>
              </w:rPr>
              <w:t xml:space="preserve">109,000.00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2011350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6,264,334.30</w:t>
            </w:r>
          </w:p>
        </w:tc>
        <w:tc>
          <w:tcPr>
            <w:tcW w:w="1320" w:type="dxa"/>
            <w:tcBorders/>
            <w:vAlign w:val="center"/>
          </w:tcPr>
          <w:p>
            <w:pPr>
              <w:snapToGrid w:val="0"/>
              <w:jc w:val="right"/>
            </w:pPr>
            <w:r>
              <w:rPr>
                <w:rFonts w:ascii="宋体" w:eastAsia="宋体" w:hAnsi="宋体" w:cs="宋体"/>
                <w:b w:val="0"/>
                <w:i w:val="0"/>
                <w:color w:val="000000"/>
                <w:sz w:val="15"/>
              </w:rPr>
              <w:t xml:space="preserve">3,574.00</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6,260,760.30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snapToGrid w:val="0"/>
              <w:jc w:val="right"/>
            </w:pPr>
            <w:r>
              <w:rPr>
                <w:rFonts w:ascii="宋体" w:eastAsia="宋体" w:hAnsi="宋体" w:cs="宋体"/>
                <w:b w:val="0"/>
                <w:i w:val="0"/>
                <w:color w:val="000000"/>
                <w:sz w:val="15"/>
              </w:rPr>
              <w:t xml:space="preserve">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w:t>
            </w:r>
          </w:p>
        </w:tc>
        <w:tc>
          <w:tcPr>
            <w:tcW w:w="4400" w:type="dxa"/>
            <w:tcBorders/>
            <w:vAlign w:val="center"/>
          </w:tcPr>
          <w:p>
            <w:pPr>
              <w:snapToGrid w:val="0"/>
              <w:jc w:val="left"/>
            </w:pPr>
            <w:r>
              <w:rPr>
                <w:rFonts w:ascii="宋体" w:eastAsia="宋体" w:hAnsi="宋体" w:cs="宋体"/>
                <w:b w:val="0"/>
                <w:i w:val="0"/>
                <w:color w:val="000000"/>
                <w:sz w:val="15"/>
              </w:rPr>
              <w:t xml:space="preserve">商业服务业等支出</w:t>
            </w: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21602</w:t>
            </w:r>
          </w:p>
        </w:tc>
        <w:tc>
          <w:tcPr>
            <w:tcW w:w="4400" w:type="dxa"/>
            <w:tcBorders/>
            <w:vAlign w:val="center"/>
          </w:tcPr>
          <w:p>
            <w:pPr>
              <w:snapToGrid w:val="0"/>
              <w:jc w:val="left"/>
            </w:pPr>
            <w:r>
              <w:rPr>
                <w:rFonts w:ascii="宋体" w:eastAsia="宋体" w:hAnsi="宋体" w:cs="宋体"/>
                <w:b w:val="0"/>
                <w:i w:val="0"/>
                <w:color w:val="000000"/>
                <w:sz w:val="15"/>
              </w:rPr>
              <w:t xml:space="preserve">商业流通事务</w:t>
            </w: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2160299</w:t>
            </w:r>
          </w:p>
        </w:tc>
        <w:tc>
          <w:tcPr>
            <w:tcW w:w="4400" w:type="dxa"/>
            <w:tcBorders/>
            <w:vAlign w:val="center"/>
          </w:tcPr>
          <w:p>
            <w:pPr>
              <w:snapToGrid w:val="0"/>
              <w:jc w:val="left"/>
            </w:pPr>
            <w:r>
              <w:rPr>
                <w:rFonts w:ascii="宋体" w:eastAsia="宋体" w:hAnsi="宋体" w:cs="宋体"/>
                <w:b w:val="0"/>
                <w:i w:val="0"/>
                <w:color w:val="000000"/>
                <w:sz w:val="15"/>
              </w:rPr>
              <w:t xml:space="preserve">其他商业流通事务支出</w:t>
            </w: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43,500.00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711974525"/>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109,000.00</w:t>
            </w:r>
          </w:p>
        </w:tc>
        <w:tc>
          <w:tcPr>
            <w:tcW w:w="1420" w:type="dxa"/>
            <w:tcBorders/>
            <w:vAlign w:val="center"/>
          </w:tcPr>
          <w:p>
            <w:pPr>
              <w:snapToGrid w:val="0"/>
              <w:jc w:val="right"/>
            </w:pPr>
            <w:r>
              <w:rPr>
                <w:rFonts w:ascii="宋体" w:eastAsia="宋体" w:hAnsi="宋体" w:cs="宋体"/>
                <w:b w:val="0"/>
                <w:i w:val="0"/>
                <w:color w:val="000000"/>
                <w:sz w:val="16"/>
              </w:rPr>
              <w:t xml:space="preserve">109,000.00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49,000.00</w:t>
            </w:r>
          </w:p>
        </w:tc>
        <w:tc>
          <w:tcPr>
            <w:tcW w:w="1420" w:type="dxa"/>
            <w:tcBorders/>
            <w:vAlign w:val="center"/>
          </w:tcPr>
          <w:p>
            <w:pPr>
              <w:snapToGrid w:val="0"/>
              <w:jc w:val="right"/>
            </w:pPr>
            <w:r>
              <w:rPr>
                <w:rFonts w:ascii="宋体" w:eastAsia="宋体" w:hAnsi="宋体" w:cs="宋体"/>
                <w:b w:val="0"/>
                <w:i w:val="0"/>
                <w:color w:val="000000"/>
                <w:sz w:val="16"/>
              </w:rPr>
              <w:t xml:space="preserve">49,000.00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snapToGrid w:val="0"/>
              <w:jc w:val="right"/>
            </w:pPr>
            <w:r>
              <w:rPr>
                <w:rFonts w:ascii="宋体" w:eastAsia="宋体" w:hAnsi="宋体" w:cs="宋体"/>
                <w:b w:val="0"/>
                <w:i w:val="0"/>
                <w:color w:val="000000"/>
                <w:sz w:val="16"/>
              </w:rPr>
              <w:t xml:space="preserve">43,500.00</w:t>
            </w:r>
          </w:p>
        </w:tc>
        <w:tc>
          <w:tcPr>
            <w:tcW w:w="1420" w:type="dxa"/>
            <w:tcBorders/>
            <w:vAlign w:val="center"/>
          </w:tcPr>
          <w:p>
            <w:pPr>
              <w:snapToGrid w:val="0"/>
              <w:jc w:val="right"/>
            </w:pPr>
            <w:r>
              <w:rPr>
                <w:rFonts w:ascii="宋体" w:eastAsia="宋体" w:hAnsi="宋体" w:cs="宋体"/>
                <w:b w:val="0"/>
                <w:i w:val="0"/>
                <w:color w:val="000000"/>
                <w:sz w:val="16"/>
              </w:rPr>
              <w:t xml:space="preserve">43,500.00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1420" w:type="dxa"/>
            <w:tcBorders/>
            <w:vAlign w:val="center"/>
          </w:tcPr>
          <w:p>
            <w:pPr>
              <w:snapToGrid w:val="0"/>
              <w:jc w:val="right"/>
            </w:pPr>
            <w:r>
              <w:rPr>
                <w:rFonts w:ascii="宋体" w:eastAsia="宋体" w:hAnsi="宋体" w:cs="宋体"/>
                <w:b w:val="0"/>
                <w:i w:val="0"/>
                <w:color w:val="000000"/>
                <w:sz w:val="16"/>
              </w:rPr>
              <w:t xml:space="preserve">201,500.00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5" w:name="_Toc1169939169"/>
      <w:r>
        <w:rPr>
          <w:rFonts w:ascii="黑体" w:eastAsia="黑体" w:hAnsi="黑体" w:hint="eastAsia"/>
          <w:sz w:val="30"/>
          <w:szCs w:val="30"/>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201,500.00</w:t>
            </w:r>
          </w:p>
        </w:tc>
        <w:tc>
          <w:tcPr>
            <w:tcW w:w="1720" w:type="dxa"/>
            <w:tcBorders/>
            <w:vAlign w:val="center"/>
          </w:tcPr>
          <w:p>
            <w:pPr>
              <w:snapToGrid w:val="0"/>
              <w:jc w:val="right"/>
            </w:pPr>
            <w:r>
              <w:rPr>
                <w:rFonts w:ascii="宋体" w:eastAsia="宋体" w:hAnsi="宋体" w:cs="宋体"/>
                <w:b w:val="0"/>
                <w:i w:val="0"/>
                <w:color w:val="000000"/>
                <w:sz w:val="20"/>
              </w:rPr>
              <w:t xml:space="preserve">158,000.00</w:t>
            </w:r>
          </w:p>
        </w:tc>
        <w:tc>
          <w:tcPr>
            <w:tcW w:w="1720" w:type="dxa"/>
            <w:tcBorders/>
            <w:vAlign w:val="center"/>
          </w:tcPr>
          <w:p>
            <w:pPr>
              <w:snapToGrid w:val="0"/>
              <w:jc w:val="right"/>
            </w:pPr>
            <w:r>
              <w:rPr>
                <w:rFonts w:ascii="宋体" w:eastAsia="宋体" w:hAnsi="宋体" w:cs="宋体"/>
                <w:b w:val="0"/>
                <w:i w:val="0"/>
                <w:color w:val="000000"/>
                <w:sz w:val="20"/>
              </w:rPr>
              <w:t xml:space="preserve">136,000.00</w:t>
            </w:r>
          </w:p>
        </w:tc>
        <w:tc>
          <w:tcPr>
            <w:tcW w:w="1720" w:type="dxa"/>
            <w:tcBorders/>
            <w:vAlign w:val="center"/>
          </w:tcPr>
          <w:p>
            <w:pPr>
              <w:snapToGrid w:val="0"/>
              <w:jc w:val="right"/>
            </w:pPr>
            <w:r>
              <w:rPr>
                <w:rFonts w:ascii="宋体" w:eastAsia="宋体" w:hAnsi="宋体" w:cs="宋体"/>
                <w:b w:val="0"/>
                <w:i w:val="0"/>
                <w:color w:val="000000"/>
                <w:sz w:val="20"/>
              </w:rPr>
              <w:t xml:space="preserve">22,000.00</w:t>
            </w:r>
          </w:p>
        </w:tc>
        <w:tc>
          <w:tcPr>
            <w:tcW w:w="1698" w:type="dxa"/>
            <w:tcBorders/>
            <w:vAlign w:val="center"/>
          </w:tcPr>
          <w:p>
            <w:pPr>
              <w:snapToGrid w:val="0"/>
              <w:jc w:val="right"/>
            </w:pPr>
            <w:r>
              <w:rPr>
                <w:rFonts w:ascii="宋体" w:eastAsia="宋体" w:hAnsi="宋体" w:cs="宋体"/>
                <w:b w:val="0"/>
                <w:i w:val="0"/>
                <w:color w:val="000000"/>
                <w:sz w:val="20"/>
              </w:rPr>
              <w:t xml:space="preserve">43,500.00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109,000.00</w:t>
            </w:r>
          </w:p>
        </w:tc>
        <w:tc>
          <w:tcPr>
            <w:tcW w:w="1720" w:type="dxa"/>
            <w:tcBorders/>
            <w:vAlign w:val="center"/>
          </w:tcPr>
          <w:p>
            <w:pPr>
              <w:snapToGrid w:val="0"/>
              <w:jc w:val="right"/>
            </w:pPr>
            <w:r>
              <w:rPr>
                <w:rFonts w:ascii="宋体" w:eastAsia="宋体" w:hAnsi="宋体" w:cs="宋体"/>
                <w:b w:val="0"/>
                <w:i w:val="0"/>
                <w:color w:val="000000"/>
                <w:sz w:val="20"/>
              </w:rPr>
              <w:t xml:space="preserve">109,000.00</w:t>
            </w:r>
          </w:p>
        </w:tc>
        <w:tc>
          <w:tcPr>
            <w:tcW w:w="1720" w:type="dxa"/>
            <w:tcBorders/>
            <w:vAlign w:val="center"/>
          </w:tcPr>
          <w:p>
            <w:pPr>
              <w:snapToGrid w:val="0"/>
              <w:jc w:val="right"/>
            </w:pPr>
            <w:r>
              <w:rPr>
                <w:rFonts w:ascii="宋体" w:eastAsia="宋体" w:hAnsi="宋体" w:cs="宋体"/>
                <w:b w:val="0"/>
                <w:i w:val="0"/>
                <w:color w:val="000000"/>
                <w:sz w:val="20"/>
              </w:rPr>
              <w:t xml:space="preserve">87,000.00</w:t>
            </w:r>
          </w:p>
        </w:tc>
        <w:tc>
          <w:tcPr>
            <w:tcW w:w="1720" w:type="dxa"/>
            <w:tcBorders/>
            <w:vAlign w:val="center"/>
          </w:tcPr>
          <w:p>
            <w:pPr>
              <w:snapToGrid w:val="0"/>
              <w:jc w:val="right"/>
            </w:pPr>
            <w:r>
              <w:rPr>
                <w:rFonts w:ascii="宋体" w:eastAsia="宋体" w:hAnsi="宋体" w:cs="宋体"/>
                <w:b w:val="0"/>
                <w:i w:val="0"/>
                <w:color w:val="000000"/>
                <w:sz w:val="20"/>
              </w:rPr>
              <w:t xml:space="preserve">22,000.00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20113</w:t>
            </w:r>
          </w:p>
        </w:tc>
        <w:tc>
          <w:tcPr>
            <w:tcW w:w="3480" w:type="dxa"/>
            <w:tcBorders/>
            <w:vAlign w:val="center"/>
          </w:tcPr>
          <w:p>
            <w:pPr>
              <w:snapToGrid w:val="0"/>
              <w:jc w:val="left"/>
            </w:pPr>
            <w:r>
              <w:rPr>
                <w:rFonts w:ascii="宋体" w:eastAsia="宋体" w:hAnsi="宋体" w:cs="宋体"/>
                <w:b w:val="0"/>
                <w:i w:val="0"/>
                <w:color w:val="000000"/>
                <w:sz w:val="20"/>
              </w:rPr>
              <w:t xml:space="preserve">商贸事务</w:t>
            </w:r>
          </w:p>
        </w:tc>
        <w:tc>
          <w:tcPr>
            <w:tcW w:w="1720" w:type="dxa"/>
            <w:tcBorders/>
            <w:vAlign w:val="center"/>
          </w:tcPr>
          <w:p>
            <w:pPr>
              <w:snapToGrid w:val="0"/>
              <w:jc w:val="right"/>
            </w:pPr>
            <w:r>
              <w:rPr>
                <w:rFonts w:ascii="宋体" w:eastAsia="宋体" w:hAnsi="宋体" w:cs="宋体"/>
                <w:b w:val="0"/>
                <w:i w:val="0"/>
                <w:color w:val="000000"/>
                <w:sz w:val="20"/>
              </w:rPr>
              <w:t xml:space="preserve">109,000.00</w:t>
            </w:r>
          </w:p>
        </w:tc>
        <w:tc>
          <w:tcPr>
            <w:tcW w:w="1720" w:type="dxa"/>
            <w:tcBorders/>
            <w:vAlign w:val="center"/>
          </w:tcPr>
          <w:p>
            <w:pPr>
              <w:snapToGrid w:val="0"/>
              <w:jc w:val="right"/>
            </w:pPr>
            <w:r>
              <w:rPr>
                <w:rFonts w:ascii="宋体" w:eastAsia="宋体" w:hAnsi="宋体" w:cs="宋体"/>
                <w:b w:val="0"/>
                <w:i w:val="0"/>
                <w:color w:val="000000"/>
                <w:sz w:val="20"/>
              </w:rPr>
              <w:t xml:space="preserve">109,000.00</w:t>
            </w:r>
          </w:p>
        </w:tc>
        <w:tc>
          <w:tcPr>
            <w:tcW w:w="1720" w:type="dxa"/>
            <w:tcBorders/>
            <w:vAlign w:val="center"/>
          </w:tcPr>
          <w:p>
            <w:pPr>
              <w:snapToGrid w:val="0"/>
              <w:jc w:val="right"/>
            </w:pPr>
            <w:r>
              <w:rPr>
                <w:rFonts w:ascii="宋体" w:eastAsia="宋体" w:hAnsi="宋体" w:cs="宋体"/>
                <w:b w:val="0"/>
                <w:i w:val="0"/>
                <w:color w:val="000000"/>
                <w:sz w:val="20"/>
              </w:rPr>
              <w:t xml:space="preserve">87,000.00</w:t>
            </w:r>
          </w:p>
        </w:tc>
        <w:tc>
          <w:tcPr>
            <w:tcW w:w="1720" w:type="dxa"/>
            <w:tcBorders/>
            <w:vAlign w:val="center"/>
          </w:tcPr>
          <w:p>
            <w:pPr>
              <w:snapToGrid w:val="0"/>
              <w:jc w:val="right"/>
            </w:pPr>
            <w:r>
              <w:rPr>
                <w:rFonts w:ascii="宋体" w:eastAsia="宋体" w:hAnsi="宋体" w:cs="宋体"/>
                <w:b w:val="0"/>
                <w:i w:val="0"/>
                <w:color w:val="000000"/>
                <w:sz w:val="20"/>
              </w:rPr>
              <w:t xml:space="preserve">22,000.00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2011301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109,000.00</w:t>
            </w:r>
          </w:p>
        </w:tc>
        <w:tc>
          <w:tcPr>
            <w:tcW w:w="1720" w:type="dxa"/>
            <w:tcBorders/>
            <w:vAlign w:val="center"/>
          </w:tcPr>
          <w:p>
            <w:pPr>
              <w:snapToGrid w:val="0"/>
              <w:jc w:val="right"/>
            </w:pPr>
            <w:r>
              <w:rPr>
                <w:rFonts w:ascii="宋体" w:eastAsia="宋体" w:hAnsi="宋体" w:cs="宋体"/>
                <w:b w:val="0"/>
                <w:i w:val="0"/>
                <w:color w:val="000000"/>
                <w:sz w:val="20"/>
              </w:rPr>
              <w:t xml:space="preserve">109,000.00</w:t>
            </w:r>
          </w:p>
        </w:tc>
        <w:tc>
          <w:tcPr>
            <w:tcW w:w="1720" w:type="dxa"/>
            <w:tcBorders/>
            <w:vAlign w:val="center"/>
          </w:tcPr>
          <w:p>
            <w:pPr>
              <w:snapToGrid w:val="0"/>
              <w:jc w:val="right"/>
            </w:pPr>
            <w:r>
              <w:rPr>
                <w:rFonts w:ascii="宋体" w:eastAsia="宋体" w:hAnsi="宋体" w:cs="宋体"/>
                <w:b w:val="0"/>
                <w:i w:val="0"/>
                <w:color w:val="000000"/>
                <w:sz w:val="20"/>
              </w:rPr>
              <w:t xml:space="preserve">87,000.00</w:t>
            </w:r>
          </w:p>
        </w:tc>
        <w:tc>
          <w:tcPr>
            <w:tcW w:w="1720" w:type="dxa"/>
            <w:tcBorders/>
            <w:vAlign w:val="center"/>
          </w:tcPr>
          <w:p>
            <w:pPr>
              <w:snapToGrid w:val="0"/>
              <w:jc w:val="right"/>
            </w:pPr>
            <w:r>
              <w:rPr>
                <w:rFonts w:ascii="宋体" w:eastAsia="宋体" w:hAnsi="宋体" w:cs="宋体"/>
                <w:b w:val="0"/>
                <w:i w:val="0"/>
                <w:color w:val="000000"/>
                <w:sz w:val="20"/>
              </w:rPr>
              <w:t xml:space="preserve">22,000.00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snapToGrid w:val="0"/>
              <w:jc w:val="right"/>
            </w:pPr>
            <w:r>
              <w:rPr>
                <w:rFonts w:ascii="宋体" w:eastAsia="宋体" w:hAnsi="宋体" w:cs="宋体"/>
                <w:b w:val="0"/>
                <w:i w:val="0"/>
                <w:color w:val="000000"/>
                <w:sz w:val="20"/>
              </w:rPr>
              <w:t xml:space="preserve">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w:t>
            </w:r>
          </w:p>
        </w:tc>
        <w:tc>
          <w:tcPr>
            <w:tcW w:w="3480" w:type="dxa"/>
            <w:tcBorders/>
            <w:vAlign w:val="center"/>
          </w:tcPr>
          <w:p>
            <w:pPr>
              <w:snapToGrid w:val="0"/>
              <w:jc w:val="left"/>
            </w:pPr>
            <w:r>
              <w:rPr>
                <w:rFonts w:ascii="宋体" w:eastAsia="宋体" w:hAnsi="宋体" w:cs="宋体"/>
                <w:b w:val="0"/>
                <w:i w:val="0"/>
                <w:color w:val="000000"/>
                <w:sz w:val="20"/>
              </w:rPr>
              <w:t xml:space="preserve">商业服务业等支出</w:t>
            </w:r>
          </w:p>
        </w:tc>
        <w:tc>
          <w:tcPr>
            <w:tcW w:w="1720" w:type="dxa"/>
            <w:tcBorders/>
            <w:vAlign w:val="center"/>
          </w:tcPr>
          <w:p>
            <w:pPr>
              <w:snapToGrid w:val="0"/>
              <w:jc w:val="right"/>
            </w:pPr>
            <w:r>
              <w:rPr>
                <w:rFonts w:ascii="宋体" w:eastAsia="宋体" w:hAnsi="宋体" w:cs="宋体"/>
                <w:b w:val="0"/>
                <w:i w:val="0"/>
                <w:color w:val="000000"/>
                <w:sz w:val="20"/>
              </w:rPr>
              <w:t xml:space="preserve">43,500.00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43,500.00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21602</w:t>
            </w:r>
          </w:p>
        </w:tc>
        <w:tc>
          <w:tcPr>
            <w:tcW w:w="3480" w:type="dxa"/>
            <w:tcBorders/>
            <w:vAlign w:val="center"/>
          </w:tcPr>
          <w:p>
            <w:pPr>
              <w:snapToGrid w:val="0"/>
              <w:jc w:val="left"/>
            </w:pPr>
            <w:r>
              <w:rPr>
                <w:rFonts w:ascii="宋体" w:eastAsia="宋体" w:hAnsi="宋体" w:cs="宋体"/>
                <w:b w:val="0"/>
                <w:i w:val="0"/>
                <w:color w:val="000000"/>
                <w:sz w:val="20"/>
              </w:rPr>
              <w:t xml:space="preserve">商业流通事务</w:t>
            </w:r>
          </w:p>
        </w:tc>
        <w:tc>
          <w:tcPr>
            <w:tcW w:w="1720" w:type="dxa"/>
            <w:tcBorders/>
            <w:vAlign w:val="center"/>
          </w:tcPr>
          <w:p>
            <w:pPr>
              <w:snapToGrid w:val="0"/>
              <w:jc w:val="right"/>
            </w:pPr>
            <w:r>
              <w:rPr>
                <w:rFonts w:ascii="宋体" w:eastAsia="宋体" w:hAnsi="宋体" w:cs="宋体"/>
                <w:b w:val="0"/>
                <w:i w:val="0"/>
                <w:color w:val="000000"/>
                <w:sz w:val="20"/>
              </w:rPr>
              <w:t xml:space="preserve">43,500.00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43,500.00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2160299</w:t>
            </w:r>
          </w:p>
        </w:tc>
        <w:tc>
          <w:tcPr>
            <w:tcW w:w="3480" w:type="dxa"/>
            <w:tcBorders/>
            <w:vAlign w:val="center"/>
          </w:tcPr>
          <w:p>
            <w:pPr>
              <w:snapToGrid w:val="0"/>
              <w:jc w:val="left"/>
            </w:pPr>
            <w:r>
              <w:rPr>
                <w:rFonts w:ascii="宋体" w:eastAsia="宋体" w:hAnsi="宋体" w:cs="宋体"/>
                <w:b w:val="0"/>
                <w:i w:val="0"/>
                <w:color w:val="000000"/>
                <w:sz w:val="20"/>
              </w:rPr>
              <w:t xml:space="preserve">其他商业流通事务支出</w:t>
            </w:r>
          </w:p>
        </w:tc>
        <w:tc>
          <w:tcPr>
            <w:tcW w:w="1720" w:type="dxa"/>
            <w:tcBorders/>
            <w:vAlign w:val="center"/>
          </w:tcPr>
          <w:p>
            <w:pPr>
              <w:snapToGrid w:val="0"/>
              <w:jc w:val="right"/>
            </w:pPr>
            <w:r>
              <w:rPr>
                <w:rFonts w:ascii="宋体" w:eastAsia="宋体" w:hAnsi="宋体" w:cs="宋体"/>
                <w:b w:val="0"/>
                <w:i w:val="0"/>
                <w:color w:val="000000"/>
                <w:sz w:val="20"/>
              </w:rPr>
              <w:t xml:space="preserve">43,500.00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43,500.00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6" w:name="_Toc807341451"/>
      <w:r>
        <w:rPr>
          <w:rFonts w:ascii="黑体" w:eastAsia="黑体" w:hAnsi="黑体" w:hint="eastAsia"/>
          <w:sz w:val="30"/>
          <w:szCs w:val="30"/>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22,000.00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136,000.00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87,000.00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49,000.00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22,000.00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136,000.00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22,000.00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7" w:name="_Toc1059543692"/>
      <w:bookmarkStart w:id="28" w:name="_Toc1186085211"/>
      <w:bookmarkStart w:id="29" w:name="_Toc2050619938"/>
      <w:bookmarkStart w:id="30" w:name="_Toc1972277765"/>
      <w:r>
        <w:rPr>
          <w:rFonts w:ascii="黑体" w:eastAsia="黑体" w:hAnsi="黑体" w:hint="eastAsia"/>
          <w:sz w:val="30"/>
          <w:szCs w:val="30"/>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中国国际贸易促进委员会天津市分会（中国国际商会天津商会）商事法律服务中心2024年度政府性基金预算财政拨款收入支出决算表为空表。</w:t>
      </w:r>
      <w:bookmarkStart w:id="31" w:name="_Toc1662304910"/>
      <w:bookmarkStart w:id="32" w:name="_Toc816430520"/>
      <w:bookmarkStart w:id="33"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4" w:name="_Toc1590929823"/>
      <w:r>
        <w:rPr>
          <w:rFonts w:ascii="黑体" w:eastAsia="黑体" w:hAnsi="黑体" w:hint="eastAsia"/>
          <w:sz w:val="30"/>
          <w:szCs w:val="30"/>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中国国际贸易促进委员会天津市分会（中国国际商会天津商会）商事法律服务中心2024年国有资本经营预算财政拨款收入支出决算表为空表。</w:t>
      </w:r>
      <w:bookmarkStart w:id="35" w:name="_Toc2076180092"/>
      <w:bookmarkStart w:id="36" w:name="_Toc1743858547"/>
      <w:bookmarkStart w:id="37"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8" w:name="_Toc438646364"/>
      <w:r>
        <w:rPr>
          <w:rFonts w:ascii="黑体" w:eastAsia="黑体" w:hAnsi="黑体" w:hint="eastAsia"/>
          <w:sz w:val="30"/>
          <w:szCs w:val="30"/>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中国国际贸易促进委员会天津市分会（中国国际商会天津商会）商事法律服务中心2024年财政拨款“三公”经费支出决算表为空表。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9" w:name="_Toc1660810272"/>
    </w:p>
    <w:p>
      <w:pPr>
        <w:pStyle w:val="Heading2"/>
        <w:spacing w:before="0" w:after="0" w:line="800" w:lineRule="exact"/>
        <w:ind w:firstLine="600" w:firstLineChars="200"/>
        <w:rPr>
          <w:rFonts w:ascii="黑体" w:eastAsia="黑体" w:hAnsi="黑体"/>
          <w:sz w:val="30"/>
          <w:szCs w:val="30"/>
        </w:rPr>
      </w:pPr>
      <w:bookmarkStart w:id="40" w:name="_Toc173785173"/>
      <w:bookmarkStart w:id="41" w:name="_Toc2044509788"/>
      <w:bookmarkStart w:id="42" w:name="_Toc18079597"/>
      <w:r>
        <w:rPr>
          <w:rFonts w:ascii="黑体" w:eastAsia="黑体" w:hAnsi="黑体" w:hint="eastAsia"/>
          <w:sz w:val="30"/>
          <w:szCs w:val="30"/>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单位：中国国际贸易促进委员会天津市分会（中国国际商会天津商会）商事法律服务中心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w:t>
            </w:r>
          </w:p>
        </w:tc>
        <w:tc>
          <w:tcPr>
            <w:tcW w:w="4560" w:type="dxa"/>
            <w:tcBorders/>
            <w:vAlign w:val="center"/>
          </w:tcPr>
          <w:p>
            <w:pPr>
              <w:snapToGrid w:val="0"/>
              <w:jc w:val="left"/>
            </w:pPr>
            <w:r>
              <w:rPr>
                <w:rFonts w:ascii="宋体" w:eastAsia="宋体" w:hAnsi="宋体" w:cs="宋体"/>
                <w:b w:val="0"/>
                <w:i w:val="0"/>
                <w:color w:val="000000"/>
                <w:sz w:val="16"/>
              </w:rPr>
              <w:t xml:space="preserve">商业服务业等支出</w:t>
            </w:r>
          </w:p>
        </w:tc>
        <w:tc>
          <w:tcPr>
            <w:tcW w:w="12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21602</w:t>
            </w:r>
          </w:p>
        </w:tc>
        <w:tc>
          <w:tcPr>
            <w:tcW w:w="4560" w:type="dxa"/>
            <w:tcBorders/>
            <w:vAlign w:val="center"/>
          </w:tcPr>
          <w:p>
            <w:pPr>
              <w:snapToGrid w:val="0"/>
              <w:jc w:val="left"/>
            </w:pPr>
            <w:r>
              <w:rPr>
                <w:rFonts w:ascii="宋体" w:eastAsia="宋体" w:hAnsi="宋体" w:cs="宋体"/>
                <w:b w:val="0"/>
                <w:i w:val="0"/>
                <w:color w:val="000000"/>
                <w:sz w:val="16"/>
              </w:rPr>
              <w:t xml:space="preserve">商业流通事务</w:t>
            </w:r>
          </w:p>
        </w:tc>
        <w:tc>
          <w:tcPr>
            <w:tcW w:w="12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2160299</w:t>
            </w:r>
          </w:p>
        </w:tc>
        <w:tc>
          <w:tcPr>
            <w:tcW w:w="4560" w:type="dxa"/>
            <w:tcBorders/>
            <w:vAlign w:val="center"/>
          </w:tcPr>
          <w:p>
            <w:pPr>
              <w:snapToGrid w:val="0"/>
              <w:jc w:val="left"/>
            </w:pPr>
            <w:r>
              <w:rPr>
                <w:rFonts w:ascii="宋体" w:eastAsia="宋体" w:hAnsi="宋体" w:cs="宋体"/>
                <w:b w:val="0"/>
                <w:i w:val="0"/>
                <w:color w:val="000000"/>
                <w:sz w:val="16"/>
              </w:rPr>
              <w:t xml:space="preserve">其他商业流通事务支出</w:t>
            </w:r>
          </w:p>
        </w:tc>
        <w:tc>
          <w:tcPr>
            <w:tcW w:w="12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2160299</w:t>
            </w:r>
          </w:p>
        </w:tc>
        <w:tc>
          <w:tcPr>
            <w:tcW w:w="4560" w:type="dxa"/>
            <w:tcBorders/>
            <w:vAlign w:val="center"/>
          </w:tcPr>
          <w:p>
            <w:pPr>
              <w:snapToGrid w:val="0"/>
              <w:jc w:val="left"/>
            </w:pPr>
            <w:r>
              <w:rPr>
                <w:rFonts w:ascii="宋体" w:eastAsia="宋体" w:hAnsi="宋体" w:cs="宋体"/>
                <w:b w:val="0"/>
                <w:i w:val="0"/>
                <w:color w:val="000000"/>
                <w:sz w:val="16"/>
              </w:rPr>
              <w:t xml:space="preserve">抚恤金</w:t>
            </w:r>
          </w:p>
        </w:tc>
        <w:tc>
          <w:tcPr>
            <w:tcW w:w="12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snapToGrid w:val="0"/>
              <w:jc w:val="right"/>
            </w:pPr>
            <w:r>
              <w:rPr>
                <w:rFonts w:ascii="宋体" w:eastAsia="宋体" w:hAnsi="宋体" w:cs="宋体"/>
                <w:b w:val="0"/>
                <w:i w:val="0"/>
                <w:color w:val="000000"/>
                <w:sz w:val="16"/>
              </w:rPr>
              <w:t xml:space="preserve">43,500.00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9"/>
      <w:bookmarkStart w:id="43" w:name="_Toc245797798"/>
      <w:bookmarkStart w:id="44" w:name="_Toc190171269"/>
      <w:bookmarkStart w:id="45" w:name="_Toc1068592552"/>
      <w:bookmarkStart w:id="46" w:name="_Toc229642691"/>
      <w:r>
        <w:rPr>
          <w:rFonts w:ascii="方正小标宋简体" w:eastAsia="方正小标宋简体" w:hAnsi="方正小标宋简体" w:cs="方正小标宋简体" w:hint="eastAsia"/>
          <w:b w:val="0"/>
        </w:rPr>
        <w:t xml:space="preserve">第三部分 2024年度部门决算情况说明</w:t>
      </w:r>
      <w:bookmarkEnd w:id="43"/>
      <w:bookmarkEnd w:id="44"/>
      <w:bookmarkEnd w:id="45"/>
      <w:bookmarkEnd w:id="46"/>
    </w:p>
    <w:p>
      <w:pPr>
        <w:pStyle w:val="Heading2"/>
        <w:spacing w:before="0" w:after="0" w:line="600" w:lineRule="exact"/>
        <w:ind w:firstLine="600" w:firstLineChars="200"/>
        <w:rPr>
          <w:rFonts w:ascii="黑体" w:eastAsia="黑体" w:hAnsi="黑体"/>
          <w:bCs w:val="0"/>
          <w:sz w:val="30"/>
          <w:szCs w:val="30"/>
        </w:rPr>
      </w:pPr>
      <w:bookmarkStart w:id="47" w:name="_Toc1512537805"/>
      <w:bookmarkStart w:id="48" w:name="_Toc576593978"/>
      <w:bookmarkStart w:id="49" w:name="_Toc429281603"/>
      <w:bookmarkStart w:id="50" w:name="_Toc752851347"/>
      <w:r>
        <w:rPr>
          <w:rFonts w:ascii="黑体" w:eastAsia="黑体" w:hAnsi="黑体" w:hint="eastAsia"/>
          <w:bCs w:val="0"/>
          <w:sz w:val="30"/>
          <w:szCs w:val="30"/>
        </w:rPr>
        <w:t xml:space="preserve">一、收入支出决算总体情况说明</w:t>
      </w:r>
      <w:bookmarkEnd w:id="47"/>
      <w:bookmarkEnd w:id="48"/>
      <w:bookmarkEnd w:id="49"/>
      <w:bookmarkEnd w:id="50"/>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中国国际贸易促进委员会天津市分会（中国国际商会天津商会）商事法律服务中心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6,415,835.52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增加2,951,591.28元，增长85.202%</w:t>
      </w:r>
      <w:r>
        <w:rPr>
          <w:rFonts w:eastAsia="仿宋_GB2312" w:hint="eastAsia"/>
          <w:sz w:val="30"/>
          <w:szCs w:val="30"/>
        </w:rPr>
        <w:t xml:space="preserve">，主要原因是</w:t>
      </w:r>
      <w:r>
        <w:rPr>
          <w:rFonts w:eastAsia="仿宋_GB2312" w:hint="eastAsia"/>
          <w:sz w:val="30"/>
          <w:szCs w:val="30"/>
        </w:rPr>
        <w:t xml:space="preserve">2024年数据统计口径为全年，2023年因单位机构改革数据统计口径为半年</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一般公共预算财政拨款收入201,500.00元、事业单位经营收入6,132,120.00元、其他收入82,215.52元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一般公共服务支出6,373,334.30元、卫生健康支出49,000.00元、商业服务业等支出43,500.00元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98940905"/>
      <w:bookmarkStart w:id="52" w:name="_Toc1458959096"/>
      <w:bookmarkStart w:id="53" w:name="_Toc1368772982"/>
      <w:bookmarkStart w:id="54" w:name="_Toc1538331348"/>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中国国际贸易促进委员会天津市分会（中国国际商会天津商会）商事法律服务中心</w:t>
      </w:r>
      <w:r>
        <w:rPr>
          <w:rFonts w:eastAsia="仿宋_GB2312" w:hint="eastAsia"/>
          <w:sz w:val="30"/>
          <w:szCs w:val="30"/>
        </w:rPr>
        <w:t xml:space="preserve">2024年度本年收入合计</w:t>
      </w:r>
      <w:r>
        <w:rPr>
          <w:rFonts w:eastAsia="仿宋_GB2312" w:hint="eastAsia"/>
          <w:sz w:val="30"/>
          <w:szCs w:val="30"/>
        </w:rPr>
        <w:t xml:space="preserve">6,415,835.52</w:t>
      </w:r>
      <w:r>
        <w:rPr>
          <w:rFonts w:eastAsia="仿宋_GB2312" w:hint="eastAsia"/>
          <w:sz w:val="30"/>
          <w:szCs w:val="30"/>
        </w:rPr>
        <w:t xml:space="preserve">元，与2023年度相比</w:t>
      </w:r>
      <w:r>
        <w:rPr>
          <w:rFonts w:eastAsia="仿宋_GB2312" w:hint="eastAsia"/>
          <w:sz w:val="30"/>
          <w:szCs w:val="30"/>
        </w:rPr>
        <w:t xml:space="preserve">增加3,652,148.55元，</w:t>
      </w:r>
      <w:r>
        <w:rPr>
          <w:rFonts w:eastAsia="仿宋_GB2312" w:hint="eastAsia"/>
          <w:sz w:val="30"/>
          <w:szCs w:val="30"/>
        </w:rPr>
        <w:t xml:space="preserve">主要原因是</w:t>
      </w:r>
      <w:r>
        <w:rPr>
          <w:rFonts w:eastAsia="仿宋_GB2312" w:hint="eastAsia"/>
          <w:sz w:val="30"/>
          <w:szCs w:val="30"/>
        </w:rPr>
        <w:t xml:space="preserve">2024年数据统计口径为全年，2023年因单位机构改革数据统计口径为半年</w:t>
      </w:r>
      <w:r>
        <w:rPr>
          <w:rFonts w:eastAsia="仿宋_GB2312" w:hint="eastAsia"/>
          <w:sz w:val="30"/>
          <w:szCs w:val="30"/>
        </w:rPr>
        <w:t xml:space="preserve">。其中：</w:t>
      </w:r>
      <w:r>
        <w:rPr>
          <w:rFonts w:eastAsia="仿宋_GB2312" w:hint="eastAsia"/>
          <w:sz w:val="30"/>
          <w:szCs w:val="30"/>
        </w:rPr>
        <w:t xml:space="preserve">一般公共预算财政拨款收入201,500.00元，占3.141%；事业单位经营收入6,132,120.00元，占95.578%；其他收入82,215.52元，占1.281%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中国国际贸易促进委员会天津市分会（中国国际商会天津商会）商事法律服务中心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6,465,834.30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增加3,883,053.72元，</w:t>
      </w:r>
      <w:r>
        <w:rPr>
          <w:rFonts w:eastAsia="仿宋_GB2312" w:hint="eastAsia"/>
          <w:sz w:val="30"/>
          <w:szCs w:val="30"/>
        </w:rPr>
        <w:t xml:space="preserve">主要原因是</w:t>
      </w:r>
      <w:r>
        <w:rPr>
          <w:rFonts w:eastAsia="仿宋_GB2312" w:hint="eastAsia"/>
          <w:sz w:val="30"/>
          <w:szCs w:val="30"/>
        </w:rPr>
        <w:t xml:space="preserve">2024年数据统计口径为全年，2023年因单位机构改革数据统计口径为半年</w:t>
      </w:r>
      <w:r>
        <w:rPr>
          <w:rFonts w:eastAsia="仿宋_GB2312" w:hint="eastAsia"/>
          <w:sz w:val="30"/>
          <w:szCs w:val="30"/>
        </w:rPr>
        <w:t xml:space="preserve">。其中：</w:t>
      </w:r>
      <w:r>
        <w:rPr>
          <w:rFonts w:eastAsia="仿宋_GB2312" w:hint="eastAsia"/>
          <w:sz w:val="30"/>
          <w:szCs w:val="30"/>
        </w:rPr>
        <w:t xml:space="preserve">基本支出161,574.00元，占2.499%；项目支出43,500.00元，占0.673%；经营支出6,260,760.30元，占96.828%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中国国际贸易促进委员会天津市分会（中国国际商会天津商会）商事法律服务中心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201,500.00</w:t>
      </w:r>
      <w:r>
        <w:rPr>
          <w:rFonts w:eastAsia="仿宋_GB2312" w:hint="eastAsia"/>
          <w:sz w:val="30"/>
          <w:szCs w:val="30"/>
        </w:rPr>
        <w:t xml:space="preserve">元。与2023年度相比，财政拨款收、支总计各</w:t>
      </w:r>
      <w:r>
        <w:rPr>
          <w:rFonts w:eastAsia="仿宋_GB2312" w:hint="eastAsia"/>
          <w:sz w:val="30"/>
          <w:szCs w:val="30"/>
        </w:rPr>
        <w:t xml:space="preserve">减少20,460.00元，下降9.218%，</w:t>
      </w:r>
      <w:r>
        <w:rPr>
          <w:rFonts w:eastAsia="仿宋_GB2312" w:hint="eastAsia"/>
          <w:sz w:val="30"/>
          <w:szCs w:val="30"/>
        </w:rPr>
        <w:t xml:space="preserve">主要原因是</w:t>
      </w:r>
      <w:r>
        <w:rPr>
          <w:rFonts w:eastAsia="仿宋_GB2312" w:hint="eastAsia"/>
          <w:sz w:val="30"/>
          <w:szCs w:val="30"/>
        </w:rPr>
        <w:t xml:space="preserve">2024年一名退休人员去世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一般公共预算财政拨款201,500.00元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一般公共服务支出109,000.00元、卫生健康支出49,000.00元、商业服务业等支出43,500.00元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中国国际贸易促进委员会天津市分会（中国国际商会天津商会）商事法律服务中心2024年度部门决算一般公共预算财政拨款支出合计201,500.00元，占本年支出合计的3.116%。与2023年度相比，一般公共预算财政拨款支出</w:t>
      </w:r>
      <w:r>
        <w:rPr>
          <w:rFonts w:eastAsia="仿宋_GB2312" w:hint="eastAsia"/>
          <w:sz w:val="30"/>
          <w:szCs w:val="30"/>
        </w:rPr>
        <w:t xml:space="preserve">减少20,460.00元</w:t>
      </w:r>
      <w:r>
        <w:rPr>
          <w:rFonts w:eastAsia="仿宋_GB2312" w:hint="eastAsia"/>
          <w:sz w:val="30"/>
          <w:szCs w:val="30"/>
        </w:rPr>
        <w:t xml:space="preserve">，下降9.218%</w:t>
      </w:r>
      <w:r>
        <w:rPr>
          <w:rFonts w:eastAsia="仿宋_GB2312" w:hint="eastAsia"/>
          <w:sz w:val="30"/>
          <w:szCs w:val="30"/>
        </w:rPr>
        <w:t xml:space="preserve">，主要原因是2024年一名退休人员去世。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2024年度一般公共预算财政拨款支出201,500.00元，主要用于以下方面：</w:t>
      </w:r>
      <w:r>
        <w:rPr>
          <w:rFonts w:eastAsia="仿宋_GB2312" w:hint="eastAsia"/>
          <w:sz w:val="30"/>
          <w:szCs w:val="30"/>
        </w:rPr>
        <w:t xml:space="preserve">一般公共服务支出（类）支出109,000.00元，占54.094%,卫生健康支出（类）支出49,000.00元，占24.318%,商业服务业等支出（类）支出43,500.00元，占21.588%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2024年度一般公共预算财政拨款支出年初预算为166,000.00元，支出决算为201,500.00元</w:t>
      </w:r>
      <w:r>
        <w:rPr>
          <w:rFonts w:eastAsia="仿宋_GB2312" w:hint="eastAsia"/>
          <w:sz w:val="30"/>
          <w:szCs w:val="30"/>
        </w:rPr>
        <w:t xml:space="preserve">，完成年初预算的121.386%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1.一般公共服务支出（类）商贸事务（款）行政运行（项）年初预算为114,000.00元，支出决算为109,000.00元，完成年初预算的95.614%，决算数小于预算数的主要原因是：2024年一名退休人员去世。</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2.卫生健康支出（类）行政事业单位医疗（款）其他行政事业单位医疗支出（项）年初预算为52,000.00元，支出决算为49,000.00元，完成年初预算的94.231%，决算数小于预算数的主要原因是：2024年一名退休人员去世。</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3.商业服务业等支出（类）商业流通事务（款）其他商业流通事务支出（项）年初预算为0.00元，支出决算为43,500.00元，决算数大于预算数的主要原因是：年中追加抚恤金项目。</w:t>
      </w:r>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507914859"/>
      <w:bookmarkStart w:id="69" w:name="_Toc1127616914"/>
      <w:bookmarkStart w:id="70" w:name="_Toc1648307680"/>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中国国际贸易促进委员会天津市分会（中国国际商会天津商会）商事法律服务中心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158,000.00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减少19,000.00元，</w:t>
      </w:r>
      <w:r>
        <w:rPr>
          <w:rFonts w:eastAsia="仿宋_GB2312" w:hint="eastAsia"/>
          <w:sz w:val="30"/>
          <w:szCs w:val="30"/>
        </w:rPr>
        <w:t xml:space="preserve">主要原因是</w:t>
      </w:r>
      <w:r>
        <w:rPr>
          <w:rFonts w:eastAsia="仿宋_GB2312" w:hint="eastAsia"/>
          <w:sz w:val="30"/>
          <w:szCs w:val="30"/>
        </w:rPr>
        <w:t xml:space="preserve">2024年一名退休人员去世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人员经费136,000.00元，主要包括</w:t>
      </w:r>
      <w:r>
        <w:rPr>
          <w:rFonts w:eastAsia="仿宋_GB2312" w:hint="eastAsia"/>
          <w:sz w:val="30"/>
          <w:szCs w:val="30"/>
        </w:rPr>
        <w:t xml:space="preserve">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公用经费22,000.00元，主要包括</w:t>
      </w:r>
      <w:r>
        <w:rPr>
          <w:rFonts w:eastAsia="仿宋_GB2312" w:hint="eastAsia"/>
          <w:sz w:val="30"/>
          <w:szCs w:val="30"/>
        </w:rPr>
        <w:t xml:space="preserve">福利费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314288823"/>
      <w:bookmarkStart w:id="73" w:name="_Toc1070516966"/>
      <w:bookmarkStart w:id="74" w:name="_Toc157358551"/>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中国国际贸易促进委员会天津市分会（中国国际商会天津商会）商事法律服务中心2024年度无政府性基金预算财政拨款收入、支出和结转结余。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中国国际贸易促进委员会天津市分会（中国国际商会天津商会）商事法律服务中心2024年度无国有资本经营预算财政拨款收入、支出和结转结余。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1895013942"/>
      <w:bookmarkStart w:id="89" w:name="_Toc20786419"/>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中国国际贸易促进委员会天津市分会（中国国际商会天津商会）商事法律服务中心2024年度无机关运行经费。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2053194528"/>
      <w:bookmarkStart w:id="93" w:name="_Toc169354537"/>
      <w:bookmarkStart w:id="94" w:name="_Toc37673911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中国国际贸易促进委员会天津市分会（中国国际商会天津商会）商事法律服务中心2024年政府采购支出总额39,900.00元，其中：政府采购货物支出39,900.00元、政府采购工程支出0.00元、政府采购服务支出0.00元。授予中小企业合同金额39,900.00元，占政府采购支出总额的100.000%，其中：授予小微企业合同金额39,900.00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925871084"/>
      <w:bookmarkStart w:id="97" w:name="_Toc1242699578"/>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中国国际贸易促进委员会天津市分会（中国国际商会天津商会）商事法律服务中心2024年度无国有资产占有使用情况。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773340371"/>
      <w:bookmarkStart w:id="101" w:name="_Toc448802626"/>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根据预算绩效管理要求,中国国际贸易促进委员会天津市分会（中国国际商会天津商会）商事法律服务中心已对1个2024年度市级项目开展绩效自评,涉及金额43,500.00元，自评结果已随部门决算一并公开。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中国国际贸易促进委员会天津市分会（中国国际商会天津商会）商事法律服务中心不属于乡、镇、街级单位,不涉及公开2024年度教育、医疗卫生、社会保障和就业、住房保障、涉农补贴等民生支出情况。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1582447786"/>
      <w:bookmarkStart w:id="108" w:name="_Toc56525689"/>
      <w:bookmarkStart w:id="109" w:name="_Toc368130082"/>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header" Target="header3.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customXml" Target="../customXml/item3.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styles" Target="styles.xml" /><Relationship Id="rId35" Type="http://schemas.openxmlformats.org/officeDocument/2006/relationships/webSettings" Target="webSettings.xml" /><Relationship Id="rId36" Type="http://schemas.openxmlformats.org/officeDocument/2006/relationships/fontTable" Target="fontTable.xml" /><Relationship Id="rId37"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05a781-7fa6-463e-aa16-b44e334a6848}">
  <ds:schemaRefs/>
</ds:datastoreItem>
</file>

<file path=customXml/itemProps11.xml><?xml version="1.0" encoding="utf-8"?>
<ds:datastoreItem xmlns:ds="http://schemas.openxmlformats.org/officeDocument/2006/customXml" ds:itemID="{9B7E5BBC-85B6-4507-A266-8A5908359F3F}">
  <ds:schemaRefs/>
</ds:datastoreItem>
</file>

<file path=customXml/itemProps12.xml><?xml version="1.0" encoding="utf-8"?>
<ds:datastoreItem xmlns:ds="http://schemas.openxmlformats.org/officeDocument/2006/customXml" ds:itemID="{A460A401-5645-4B19-9032-4F3214354AD2}">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11412D9-9BD1-49C6-898E-32E5B10E4A57}">
  <ds:schemaRefs/>
</ds:datastoreItem>
</file>

<file path=customXml/itemProps17.xml><?xml version="1.0" encoding="utf-8"?>
<ds:datastoreItem xmlns:ds="http://schemas.openxmlformats.org/officeDocument/2006/customXml" ds:itemID="{093F2D8C-60D1-42DB-8DB8-50630DD737DE}">
  <ds:schemaRefs/>
</ds:datastoreItem>
</file>

<file path=customXml/itemProps18.xml><?xml version="1.0" encoding="utf-8"?>
<ds:datastoreItem xmlns:ds="http://schemas.openxmlformats.org/officeDocument/2006/customXml" ds:itemID="{E3799C1F-725D-428D-8919-8F8656367B63}">
  <ds:schemaRefs/>
</ds:datastoreItem>
</file>

<file path=customXml/itemProps19.xml><?xml version="1.0" encoding="utf-8"?>
<ds:datastoreItem xmlns:ds="http://schemas.openxmlformats.org/officeDocument/2006/customXml" ds:itemID="{68CD3A8F-9C94-403B-AEAA-050E2144B59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C3AB585A-6BA2-4FC7-BE37-D151DAAAB6C4}">
  <ds:schemaRefs/>
</ds:datastoreItem>
</file>

<file path=customXml/itemProps21.xml><?xml version="1.0" encoding="utf-8"?>
<ds:datastoreItem xmlns:ds="http://schemas.openxmlformats.org/officeDocument/2006/customXml" ds:itemID="{217734FF-E389-4970-B253-703D7FC180DD}">
  <ds:schemaRefs/>
</ds:datastoreItem>
</file>

<file path=customXml/itemProps22.xml><?xml version="1.0" encoding="utf-8"?>
<ds:datastoreItem xmlns:ds="http://schemas.openxmlformats.org/officeDocument/2006/customXml" ds:itemID="{1709EA4B-BC17-47D8-8A6C-F6BE750A562F}">
  <ds:schemaRefs/>
</ds:datastoreItem>
</file>

<file path=customXml/itemProps23.xml><?xml version="1.0" encoding="utf-8"?>
<ds:datastoreItem xmlns:ds="http://schemas.openxmlformats.org/officeDocument/2006/customXml" ds:itemID="{98cfa169-6c8a-4aa9-ae2b-662239092801}">
  <ds:schemaRefs/>
</ds:datastoreItem>
</file>

<file path=customXml/itemProps24.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29C29699-4F72-40F4-B55A-008B4CA23939}">
  <ds:schemaRefs/>
</ds:datastoreItem>
</file>

<file path=customXml/itemProps4.xml><?xml version="1.0" encoding="utf-8"?>
<ds:datastoreItem xmlns:ds="http://schemas.openxmlformats.org/officeDocument/2006/customXml" ds:itemID="{52C2F3B5-2FED-4CF7-BADE-85673CCA97A7}">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9A986101-A5D4-42F8-9BD2-ED831C27E849}">
  <ds:schemaRefs/>
</ds:datastoreItem>
</file>

<file path=customXml/itemProps9.xml><?xml version="1.0" encoding="utf-8"?>
<ds:datastoreItem xmlns:ds="http://schemas.openxmlformats.org/officeDocument/2006/customXml" ds:itemID="{696F2980-23D8-403F-A1D5-FC1C8D10704C}">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2025-07-05T19:27:00Z</cp:lastPrinted>
  <dcterms:created xsi:type="dcterms:W3CDTF">2019-08-08T10:37:00Z</dcterms:created>
  <dcterms:modified xsi:type="dcterms:W3CDTF">2025-08-21T13:42:01Z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