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中国国际贸易促进委员会天津市分会（中国国际商会天津商会)会展服务中心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5"/>
          <w:headerReference w:type="default" r:id="rId26"/>
          <w:headerReference w:type="first" r:id="rId27"/>
          <w:footerReference w:type="even" r:id="rId28"/>
          <w:footerReference w:type="default" r:id="rId29"/>
          <w:footerReference w:type="first" r:id="rId3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214908849"/>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中国国际贸易促进委员会天津市分会（中国国际商会天津商会)会展服务中心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办各类国外来华经济贸易展（博）览会、大型国际会议和各类经济贸易展览、洽谈、研讨会；组织参加各类国际展览会及提供相关服务；为国内外企业利用资金、引进技术、对外贸易等方面提供商务咨询服务；为国外企业和港、澳、台地区企业在津设立办事处提供相关服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244589183"/>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中国国际贸易促进委员会天津市分会（中国国际商会天津商会）会展服务中心内设1个职能处室；下辖0个预算单位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中国国际贸易促进委员会天津市分会（中国国际商会天津商会)会展服务中心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中国国际贸易促进委员会天津市分会（中国国际商会天津商会）会展服务中心</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1865768001"/>
      <w:bookmarkStart w:id="19" w:name="_Toc984815664"/>
      <w:bookmarkStart w:id="20" w:name="_Toc291121727"/>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13,589,788.71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14,391,008.68</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14,391,008.68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13,589,788.71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801,219.97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14,391,008.68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14,391,008.68</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406579313"/>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w:t>
            </w:r>
          </w:p>
        </w:tc>
        <w:tc>
          <w:tcPr>
            <w:tcW w:w="2520" w:type="dxa"/>
            <w:tcBorders/>
            <w:vAlign w:val="center"/>
          </w:tcPr>
          <w:p>
            <w:pPr>
              <w:snapToGrid w:val="0"/>
              <w:jc w:val="left"/>
            </w:pPr>
            <w:r>
              <w:rPr>
                <w:rFonts w:ascii="宋体" w:eastAsia="宋体" w:hAnsi="宋体" w:cs="宋体"/>
                <w:b w:val="0"/>
                <w:i w:val="0"/>
                <w:color w:val="000000"/>
                <w:sz w:val="14"/>
              </w:rPr>
              <w:t xml:space="preserve">商贸事务</w:t>
            </w: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14,391,008.68</w:t>
            </w: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8554883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573702</w:t>
            </w:r>
          </w:p>
        </w:tc>
        <w:tc>
          <w:tcPr>
            <w:tcW w:w="1520" w:type="dxa"/>
            <w:tcBorders/>
            <w:vAlign w:val="center"/>
          </w:tcPr>
          <w:p>
            <w:pPr>
              <w:snapToGrid w:val="0"/>
              <w:jc w:val="center"/>
            </w:pPr>
            <w:r>
              <w:rPr>
                <w:rFonts w:ascii="宋体" w:eastAsia="宋体" w:hAnsi="宋体" w:cs="宋体"/>
                <w:b w:val="0"/>
                <w:i w:val="0"/>
                <w:color w:val="000000"/>
                <w:sz w:val="9"/>
              </w:rPr>
              <w:t xml:space="preserve">中国国际贸易促进委员会天津市分会（中国国际商会天津</w:t>
            </w: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14,391,008.68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52743616"/>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w:t>
            </w:r>
          </w:p>
        </w:tc>
        <w:tc>
          <w:tcPr>
            <w:tcW w:w="4400" w:type="dxa"/>
            <w:tcBorders/>
            <w:vAlign w:val="center"/>
          </w:tcPr>
          <w:p>
            <w:pPr>
              <w:snapToGrid w:val="0"/>
              <w:jc w:val="left"/>
            </w:pPr>
            <w:r>
              <w:rPr>
                <w:rFonts w:ascii="宋体" w:eastAsia="宋体" w:hAnsi="宋体" w:cs="宋体"/>
                <w:b w:val="0"/>
                <w:i w:val="0"/>
                <w:color w:val="000000"/>
                <w:sz w:val="15"/>
              </w:rPr>
              <w:t xml:space="preserve">商贸事务</w:t>
            </w: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13,589,788.71</w:t>
            </w: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711974525"/>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中国国际贸易促进委员会天津市分会（中国国际商会天津商会)会展服务中心2024年度财政拨款收入支出决算总表为空表。</w:t>
      </w:r>
      <w:bookmarkStart w:id="25" w:name="_Toc1872910203"/>
      <w:bookmarkStart w:id="26" w:name="_Toc524951764"/>
      <w:bookmarkStart w:id="27" w:name="_Toc143776408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8" w:name="_Toc1169939169"/>
      <w:r>
        <w:rPr>
          <w:rFonts w:ascii="黑体" w:eastAsia="黑体" w:hAnsi="黑体" w:hint="eastAsia"/>
          <w:sz w:val="30"/>
          <w:szCs w:val="30"/>
        </w:rPr>
        <w:t xml:space="preserve">六、《一般公共预算财政拨款支出决算表》</w:t>
      </w:r>
      <w:bookmarkEnd w:id="25"/>
      <w:bookmarkEnd w:id="26"/>
      <w:bookmarkEnd w:id="27"/>
      <w:bookmarkEnd w:id="2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中国国际贸易促进委员会天津市分会（中国国际商会天津商会)会展服务中心2024年度一般公共预算财政拨款支出决算表为空表。</w:t>
      </w:r>
      <w:bookmarkStart w:id="29" w:name="_Toc1001475672"/>
      <w:bookmarkStart w:id="30" w:name="_Toc1014896516"/>
      <w:bookmarkStart w:id="31" w:name="_Toc186484095"/>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2" w:name="_Toc807341451"/>
      <w:r>
        <w:rPr>
          <w:rFonts w:ascii="黑体" w:eastAsia="黑体" w:hAnsi="黑体" w:hint="eastAsia"/>
          <w:sz w:val="30"/>
          <w:szCs w:val="30"/>
        </w:rPr>
        <w:t xml:space="preserve">七、《一般公共预算财政拨款基本支出决算表》</w:t>
      </w:r>
      <w:bookmarkEnd w:id="29"/>
      <w:bookmarkEnd w:id="30"/>
      <w:bookmarkEnd w:id="31"/>
      <w:bookmarkEnd w:id="3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中国国际贸易促进委员会天津市分会（中国国际商会天津商会)会展服务中心2024年度一般公共预算财政拨款基本支出决算表为空表。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3" w:name="_Toc1059543692"/>
      <w:bookmarkStart w:id="34" w:name="_Toc1186085211"/>
      <w:bookmarkStart w:id="35" w:name="_Toc2050619938"/>
      <w:bookmarkStart w:id="36" w:name="_Toc1972277765"/>
      <w:r>
        <w:rPr>
          <w:rFonts w:ascii="黑体" w:eastAsia="黑体" w:hAnsi="黑体" w:hint="eastAsia"/>
          <w:sz w:val="30"/>
          <w:szCs w:val="30"/>
        </w:rPr>
        <w:t xml:space="preserve">八、《政府性基金预算财政拨款收入支出决算表》</w:t>
      </w:r>
      <w:bookmarkEnd w:id="33"/>
      <w:bookmarkEnd w:id="34"/>
      <w:bookmarkEnd w:id="35"/>
      <w:bookmarkEnd w:id="3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中国国际贸易促进委员会天津市分会（中国国际商会天津商会)会展服务中心2024年度政府性基金预算财政拨款收入支出决算表为空表。</w:t>
      </w:r>
      <w:bookmarkStart w:id="37" w:name="_Toc1662304910"/>
      <w:bookmarkStart w:id="38" w:name="_Toc816430520"/>
      <w:bookmarkStart w:id="39"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40" w:name="_Toc1590929823"/>
      <w:r>
        <w:rPr>
          <w:rFonts w:ascii="黑体" w:eastAsia="黑体" w:hAnsi="黑体" w:hint="eastAsia"/>
          <w:sz w:val="30"/>
          <w:szCs w:val="30"/>
        </w:rPr>
        <w:t xml:space="preserve">九、《国有资本经营预算财政拨款收入支出决算表》</w:t>
      </w:r>
      <w:bookmarkEnd w:id="37"/>
      <w:bookmarkEnd w:id="38"/>
      <w:bookmarkEnd w:id="39"/>
      <w:bookmarkEnd w:id="4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中国国际贸易促进委员会天津市分会（中国国际商会天津商会)会展服务中心2024年国有资本经营预算财政拨款收入支出决算表为空表。</w:t>
      </w:r>
      <w:bookmarkStart w:id="41" w:name="_Toc2076180092"/>
      <w:bookmarkStart w:id="42" w:name="_Toc1743858547"/>
      <w:bookmarkStart w:id="4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4" w:name="_Toc438646364"/>
      <w:r>
        <w:rPr>
          <w:rFonts w:ascii="黑体" w:eastAsia="黑体" w:hAnsi="黑体" w:hint="eastAsia"/>
          <w:sz w:val="30"/>
          <w:szCs w:val="30"/>
        </w:rPr>
        <w:t xml:space="preserve">十、《财政拨款“三公”经费支出决算表》</w:t>
      </w:r>
      <w:bookmarkEnd w:id="41"/>
      <w:bookmarkEnd w:id="42"/>
      <w:bookmarkEnd w:id="43"/>
      <w:bookmarkEnd w:id="4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中国国际贸易促进委员会天津市分会（中国国际商会天津商会)会展服务中心2024年财政拨款“三公”经费支出决算表为空表。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5" w:name="_Toc1660810272"/>
    </w:p>
    <w:p>
      <w:pPr>
        <w:pStyle w:val="Heading2"/>
        <w:spacing w:before="0" w:after="0" w:line="800" w:lineRule="exact"/>
        <w:ind w:firstLine="600" w:firstLineChars="200"/>
        <w:rPr>
          <w:rFonts w:ascii="黑体" w:eastAsia="黑体" w:hAnsi="黑体"/>
          <w:sz w:val="30"/>
          <w:szCs w:val="30"/>
        </w:rPr>
      </w:pPr>
      <w:bookmarkStart w:id="46" w:name="_Toc173785173"/>
      <w:bookmarkStart w:id="47" w:name="_Toc2044509788"/>
      <w:bookmarkStart w:id="48" w:name="_Toc18079597"/>
      <w:r>
        <w:rPr>
          <w:rFonts w:ascii="黑体" w:eastAsia="黑体" w:hAnsi="黑体" w:hint="eastAsia"/>
          <w:sz w:val="30"/>
          <w:szCs w:val="30"/>
        </w:rPr>
        <w:t xml:space="preserve">十一、《项目支出决算表》</w:t>
      </w:r>
      <w:bookmarkEnd w:id="46"/>
      <w:bookmarkEnd w:id="47"/>
      <w:bookmarkEnd w:id="4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单位：中国国际贸易促进委员会天津市分会（中国国际商会天津商会)会展服务中心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中国国际贸易促进委员会天津市分会（中国国际商会天津商会)会展服务中心2024年项目支出决算表为空表。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5"/>
      <w:bookmarkStart w:id="49" w:name="_Toc245797798"/>
      <w:bookmarkStart w:id="50" w:name="_Toc190171269"/>
      <w:bookmarkStart w:id="51" w:name="_Toc1068592552"/>
      <w:bookmarkStart w:id="52" w:name="_Toc229642691"/>
      <w:r>
        <w:rPr>
          <w:rFonts w:ascii="方正小标宋简体" w:eastAsia="方正小标宋简体" w:hAnsi="方正小标宋简体" w:cs="方正小标宋简体" w:hint="eastAsia"/>
          <w:b w:val="0"/>
        </w:rPr>
        <w:t xml:space="preserve">第三部分 2024年度部门决算情况说明</w:t>
      </w:r>
      <w:bookmarkEnd w:id="49"/>
      <w:bookmarkEnd w:id="50"/>
      <w:bookmarkEnd w:id="51"/>
      <w:bookmarkEnd w:id="52"/>
    </w:p>
    <w:p>
      <w:pPr>
        <w:pStyle w:val="Heading2"/>
        <w:spacing w:before="0" w:after="0" w:line="600" w:lineRule="exact"/>
        <w:ind w:firstLine="600" w:firstLineChars="200"/>
        <w:rPr>
          <w:rFonts w:ascii="黑体" w:eastAsia="黑体" w:hAnsi="黑体"/>
          <w:bCs w:val="0"/>
          <w:sz w:val="30"/>
          <w:szCs w:val="30"/>
        </w:rPr>
      </w:pPr>
      <w:bookmarkStart w:id="53" w:name="_Toc1512537805"/>
      <w:bookmarkStart w:id="54" w:name="_Toc576593978"/>
      <w:bookmarkStart w:id="55" w:name="_Toc429281603"/>
      <w:bookmarkStart w:id="56" w:name="_Toc752851347"/>
      <w:r>
        <w:rPr>
          <w:rFonts w:ascii="黑体" w:eastAsia="黑体" w:hAnsi="黑体" w:hint="eastAsia"/>
          <w:bCs w:val="0"/>
          <w:sz w:val="30"/>
          <w:szCs w:val="30"/>
        </w:rPr>
        <w:t xml:space="preserve">一、收入支出决算总体情况说明</w:t>
      </w:r>
      <w:bookmarkEnd w:id="53"/>
      <w:bookmarkEnd w:id="54"/>
      <w:bookmarkEnd w:id="55"/>
      <w:bookmarkEnd w:id="56"/>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中国国际贸易促进委员会天津市分会（中国国际商会天津商会)会展服务中心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14,391,008.68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增加14,391,008.68元</w:t>
      </w:r>
      <w:r>
        <w:rPr>
          <w:rFonts w:eastAsia="仿宋_GB2312" w:hint="eastAsia"/>
          <w:sz w:val="30"/>
          <w:szCs w:val="30"/>
        </w:rPr>
        <w:t xml:space="preserve">，主要原因是</w:t>
      </w:r>
      <w:r>
        <w:rPr>
          <w:rFonts w:eastAsia="仿宋_GB2312" w:hint="eastAsia"/>
          <w:sz w:val="30"/>
          <w:szCs w:val="30"/>
        </w:rPr>
        <w:t xml:space="preserve">我单位2024年新纳入部门预算范围，无同期对比数据</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事业单位经营收入14,391,008.68元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一般公共服务支出13,589,788.71元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7" w:name="_Toc198940905"/>
      <w:bookmarkStart w:id="58" w:name="_Toc1458959096"/>
      <w:bookmarkStart w:id="59" w:name="_Toc1368772982"/>
      <w:bookmarkStart w:id="60" w:name="_Toc1538331348"/>
      <w:r>
        <w:rPr>
          <w:rFonts w:ascii="黑体" w:eastAsia="黑体" w:hAnsi="黑体" w:cs="仿宋_GB2312" w:hint="eastAsia"/>
          <w:bCs w:val="0"/>
          <w:sz w:val="30"/>
          <w:szCs w:val="30"/>
        </w:rPr>
        <w:t xml:space="preserve">二、收入决算情况说明</w:t>
      </w:r>
      <w:bookmarkEnd w:id="57"/>
      <w:bookmarkEnd w:id="58"/>
      <w:bookmarkEnd w:id="59"/>
      <w:bookmarkEnd w:id="60"/>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中国国际贸易促进委员会天津市分会（中国国际商会天津商会)会展服务中心</w:t>
      </w:r>
      <w:r>
        <w:rPr>
          <w:rFonts w:eastAsia="仿宋_GB2312" w:hint="eastAsia"/>
          <w:sz w:val="30"/>
          <w:szCs w:val="30"/>
        </w:rPr>
        <w:t xml:space="preserve">2024年度本年收入合计</w:t>
      </w:r>
      <w:r>
        <w:rPr>
          <w:rFonts w:eastAsia="仿宋_GB2312" w:hint="eastAsia"/>
          <w:sz w:val="30"/>
          <w:szCs w:val="30"/>
        </w:rPr>
        <w:t xml:space="preserve">14,391,008.68</w:t>
      </w:r>
      <w:r>
        <w:rPr>
          <w:rFonts w:eastAsia="仿宋_GB2312" w:hint="eastAsia"/>
          <w:sz w:val="30"/>
          <w:szCs w:val="30"/>
        </w:rPr>
        <w:t xml:space="preserve">元，与2023年度相比</w:t>
      </w:r>
      <w:r>
        <w:rPr>
          <w:rFonts w:eastAsia="仿宋_GB2312" w:hint="eastAsia"/>
          <w:sz w:val="30"/>
          <w:szCs w:val="30"/>
        </w:rPr>
        <w:t xml:space="preserve">增加14,391,008.68元，</w:t>
      </w:r>
      <w:r>
        <w:rPr>
          <w:rFonts w:eastAsia="仿宋_GB2312" w:hint="eastAsia"/>
          <w:sz w:val="30"/>
          <w:szCs w:val="30"/>
        </w:rPr>
        <w:t xml:space="preserve">主要原因是</w:t>
      </w:r>
      <w:r>
        <w:rPr>
          <w:rFonts w:eastAsia="仿宋_GB2312" w:hint="eastAsia"/>
          <w:sz w:val="30"/>
          <w:szCs w:val="30"/>
        </w:rPr>
        <w:t xml:space="preserve">我单位2024年新纳入部门预算范围，无同期对比数据</w:t>
      </w:r>
      <w:r>
        <w:rPr>
          <w:rFonts w:eastAsia="仿宋_GB2312" w:hint="eastAsia"/>
          <w:sz w:val="30"/>
          <w:szCs w:val="30"/>
        </w:rPr>
        <w:t xml:space="preserve">。其中：</w:t>
      </w:r>
      <w:r>
        <w:rPr>
          <w:rFonts w:eastAsia="仿宋_GB2312" w:hint="eastAsia"/>
          <w:sz w:val="30"/>
          <w:szCs w:val="30"/>
        </w:rPr>
        <w:t xml:space="preserve">事业单位经营收入14,391,008.68元，占100.000%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1" w:name="_Toc2115235603"/>
      <w:bookmarkStart w:id="62" w:name="_Toc1122681810"/>
      <w:bookmarkStart w:id="63" w:name="_Toc757245026"/>
      <w:bookmarkStart w:id="64" w:name="_Toc1179339603"/>
      <w:r>
        <w:rPr>
          <w:rFonts w:ascii="黑体" w:eastAsia="黑体" w:hAnsi="黑体" w:cs="仿宋_GB2312" w:hint="eastAsia"/>
          <w:bCs w:val="0"/>
          <w:sz w:val="30"/>
          <w:szCs w:val="30"/>
        </w:rPr>
        <w:t xml:space="preserve">三、支出决算情况说明</w:t>
      </w:r>
      <w:bookmarkEnd w:id="61"/>
      <w:bookmarkEnd w:id="62"/>
      <w:bookmarkEnd w:id="63"/>
      <w:bookmarkEnd w:id="64"/>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中国国际贸易促进委员会天津市分会（中国国际商会天津商会)会展服务中心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13,589,788.71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增加13,589,788.71元，</w:t>
      </w:r>
      <w:r>
        <w:rPr>
          <w:rFonts w:eastAsia="仿宋_GB2312" w:hint="eastAsia"/>
          <w:sz w:val="30"/>
          <w:szCs w:val="30"/>
        </w:rPr>
        <w:t xml:space="preserve">主要原因是</w:t>
      </w:r>
      <w:r>
        <w:rPr>
          <w:rFonts w:eastAsia="仿宋_GB2312" w:hint="eastAsia"/>
          <w:sz w:val="30"/>
          <w:szCs w:val="30"/>
        </w:rPr>
        <w:t xml:space="preserve">我单位2024年新纳入部门预算范围，无同期对比数据</w:t>
      </w:r>
      <w:r>
        <w:rPr>
          <w:rFonts w:eastAsia="仿宋_GB2312" w:hint="eastAsia"/>
          <w:sz w:val="30"/>
          <w:szCs w:val="30"/>
        </w:rPr>
        <w:t xml:space="preserve">。其中：</w:t>
      </w:r>
      <w:r>
        <w:rPr>
          <w:rFonts w:eastAsia="仿宋_GB2312" w:hint="eastAsia"/>
          <w:sz w:val="30"/>
          <w:szCs w:val="30"/>
        </w:rPr>
        <w:t xml:space="preserve">经营支出13,589,788.71元，占100.000%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5" w:name="_Toc1029059860"/>
      <w:bookmarkStart w:id="66" w:name="_Toc1320487183"/>
      <w:bookmarkStart w:id="67" w:name="_Toc1121858128"/>
      <w:bookmarkStart w:id="68" w:name="_Toc2034129458"/>
      <w:r>
        <w:rPr>
          <w:rFonts w:ascii="黑体" w:eastAsia="黑体" w:hAnsi="黑体" w:hint="eastAsia"/>
          <w:bCs w:val="0"/>
          <w:sz w:val="30"/>
          <w:szCs w:val="30"/>
        </w:rPr>
        <w:t xml:space="preserve">四、财政拨款收支决算总体情况说明</w:t>
      </w:r>
      <w:bookmarkEnd w:id="65"/>
      <w:bookmarkEnd w:id="66"/>
      <w:bookmarkEnd w:id="67"/>
      <w:bookmarkEnd w:id="68"/>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中国国际贸易促进委员会天津市分会（中国国际商会天津商会)会展服务中心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我单位无财政拨款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9" w:name="_Toc1723257729"/>
      <w:bookmarkStart w:id="70" w:name="_Toc1821624013"/>
      <w:bookmarkStart w:id="71" w:name="_Toc1332076583"/>
      <w:bookmarkStart w:id="72" w:name="_Toc163136636"/>
      <w:r>
        <w:rPr>
          <w:rFonts w:ascii="黑体" w:eastAsia="黑体" w:hAnsi="黑体" w:cs="仿宋_GB2312" w:hint="eastAsia"/>
          <w:sz w:val="30"/>
          <w:szCs w:val="30"/>
        </w:rPr>
        <w:t xml:space="preserve">五、一般公共预算财政拨款支出决算情况说明</w:t>
      </w:r>
      <w:bookmarkEnd w:id="69"/>
      <w:bookmarkEnd w:id="70"/>
      <w:bookmarkEnd w:id="71"/>
      <w:bookmarkEnd w:id="72"/>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中国国际贸易促进委员会天津市分会（中国国际商会天津商会)会展服务中心2024年度无一般公共预算财政拨款收入、支出和结转结余。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3" w:name="_Toc1828187861"/>
      <w:bookmarkStart w:id="74" w:name="_Toc1507914859"/>
      <w:bookmarkStart w:id="75" w:name="_Toc1127616914"/>
      <w:bookmarkStart w:id="76" w:name="_Toc1648307680"/>
      <w:r>
        <w:rPr>
          <w:rFonts w:ascii="黑体" w:eastAsia="黑体" w:hAnsi="黑体" w:cs="仿宋_GB2312" w:hint="eastAsia"/>
          <w:sz w:val="30"/>
          <w:szCs w:val="30"/>
        </w:rPr>
        <w:t xml:space="preserve">六、一般公共预算财政拨款基本支出决算情况说明</w:t>
      </w:r>
      <w:bookmarkEnd w:id="73"/>
      <w:bookmarkEnd w:id="74"/>
      <w:bookmarkEnd w:id="75"/>
      <w:bookmarkEnd w:id="76"/>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中国国际贸易促进委员会天津市分会（中国国际商会天津商会)会展服务中心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我单位无财政拨款，不涉及一般公共预算财政拨款基本支出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7" w:name="_Toc568131460"/>
      <w:bookmarkStart w:id="78" w:name="_Toc314288823"/>
      <w:bookmarkStart w:id="79" w:name="_Toc1070516966"/>
      <w:bookmarkStart w:id="80" w:name="_Toc157358551"/>
      <w:r>
        <w:rPr>
          <w:rFonts w:ascii="黑体" w:eastAsia="黑体" w:hAnsi="黑体" w:cs="仿宋_GB2312" w:hint="eastAsia"/>
          <w:sz w:val="30"/>
          <w:szCs w:val="30"/>
        </w:rPr>
        <w:t xml:space="preserve">七、政府性基金预算财政拨款收支决算情况说明</w:t>
      </w:r>
      <w:bookmarkEnd w:id="77"/>
      <w:bookmarkEnd w:id="78"/>
      <w:bookmarkEnd w:id="79"/>
      <w:bookmarkEnd w:id="80"/>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中国国际贸易促进委员会天津市分会（中国国际商会天津商会)会展服务中心2024年度无政府性基金预算财政拨款收入、支出和结转结余。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1" w:name="_Toc1589960188"/>
      <w:bookmarkStart w:id="82" w:name="_Toc560652996"/>
      <w:bookmarkStart w:id="83" w:name="_Toc873153658"/>
      <w:bookmarkStart w:id="84" w:name="_Toc1172797200"/>
      <w:r>
        <w:rPr>
          <w:rFonts w:ascii="黑体" w:eastAsia="黑体" w:hAnsi="黑体" w:cs="仿宋_GB2312" w:hint="eastAsia"/>
          <w:sz w:val="30"/>
          <w:szCs w:val="30"/>
        </w:rPr>
        <w:t xml:space="preserve">八、国有资本经营预算财政拨款收支决算情况说明</w:t>
      </w:r>
      <w:bookmarkEnd w:id="81"/>
      <w:bookmarkEnd w:id="82"/>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中国国际贸易促进委员会天津市分会（中国国际商会天津商会)会展服务中心2024年度无国有资本经营预算财政拨款收入、支出和结转结余。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5" w:name="_Toc1597628234"/>
      <w:bookmarkStart w:id="86" w:name="_Toc1884144383"/>
      <w:bookmarkStart w:id="87" w:name="_Toc1337770055"/>
      <w:bookmarkStart w:id="88" w:name="_Toc1321860095"/>
      <w:r>
        <w:rPr>
          <w:rFonts w:ascii="黑体" w:eastAsia="黑体" w:hAnsi="黑体" w:cs="仿宋_GB2312" w:hint="eastAsia"/>
          <w:sz w:val="30"/>
          <w:szCs w:val="30"/>
        </w:rPr>
        <w:t xml:space="preserve">九、财政拨款“三公”经费支出决算情况说明</w:t>
      </w:r>
      <w:bookmarkEnd w:id="85"/>
      <w:bookmarkEnd w:id="86"/>
      <w:bookmarkEnd w:id="87"/>
      <w:bookmarkEnd w:id="88"/>
    </w:p>
    <w:p>
      <w:pPr>
        <w:spacing w:line="600" w:lineRule="exact"/>
        <w:ind w:firstLine="600" w:firstLineChars="200"/>
        <w:rPr>
          <w:rFonts w:ascii="楷体" w:eastAsia="楷体" w:hAnsi="楷体" w:cs="楷体"/>
          <w:b/>
          <w:bCs/>
          <w:sz w:val="30"/>
          <w:szCs w:val="30"/>
        </w:rPr>
      </w:pPr>
      <w:bookmarkStart w:id="89" w:name="_Toc784288450"/>
      <w:bookmarkStart w:id="90" w:name="_Toc99152753"/>
      <w:r>
        <w:rPr>
          <w:rFonts w:ascii="楷体" w:eastAsia="楷体" w:hAnsi="楷体" w:cs="楷体" w:hint="eastAsia"/>
          <w:b/>
          <w:bCs/>
          <w:sz w:val="30"/>
          <w:szCs w:val="30"/>
        </w:rPr>
        <w:t xml:space="preserve">（一）总体情况</w:t>
      </w:r>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决算数与预算数持平的主要原因是本年度未用财政拨款列支“三公”经费；</w:t>
      </w:r>
      <w:r>
        <w:rPr>
          <w:rFonts w:eastAsia="仿宋_GB2312" w:hint="eastAsia"/>
          <w:sz w:val="30"/>
          <w:szCs w:val="30"/>
        </w:rPr>
        <w:t xml:space="preserve">决算数较上年持平的主要原因是未用财政拨款列支“三公”经费。</w:t>
      </w:r>
    </w:p>
    <w:p>
      <w:pPr>
        <w:spacing w:line="600" w:lineRule="exact"/>
        <w:ind w:firstLine="600" w:firstLineChars="200"/>
        <w:rPr>
          <w:rFonts w:ascii="楷体" w:eastAsia="楷体" w:hAnsi="楷体" w:cs="楷体"/>
          <w:b/>
          <w:bCs/>
          <w:sz w:val="30"/>
          <w:szCs w:val="30"/>
        </w:rPr>
      </w:pPr>
      <w:bookmarkStart w:id="91" w:name="_Toc13009599"/>
      <w:bookmarkStart w:id="92" w:name="_Toc281353864"/>
      <w:r>
        <w:rPr>
          <w:rFonts w:ascii="楷体" w:eastAsia="楷体" w:hAnsi="楷体" w:cs="楷体" w:hint="eastAsia"/>
          <w:b/>
          <w:bCs/>
          <w:sz w:val="30"/>
          <w:szCs w:val="30"/>
        </w:rPr>
        <w:t xml:space="preserve">（二）具体情况</w:t>
      </w:r>
      <w:bookmarkEnd w:id="91"/>
      <w:bookmarkEnd w:id="9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3" w:name="_Toc1349690397"/>
      <w:bookmarkStart w:id="94" w:name="_Toc1895013942"/>
      <w:bookmarkStart w:id="95" w:name="_Toc20786419"/>
      <w:bookmarkStart w:id="96" w:name="_Toc2102885201"/>
      <w:r>
        <w:rPr>
          <w:rFonts w:ascii="黑体" w:eastAsia="黑体" w:hAnsi="黑体" w:cs="仿宋_GB2312" w:hint="eastAsia"/>
          <w:sz w:val="30"/>
          <w:szCs w:val="30"/>
        </w:rPr>
        <w:t xml:space="preserve">十、机关运行经费支出情况说明</w:t>
      </w:r>
      <w:bookmarkEnd w:id="93"/>
      <w:bookmarkEnd w:id="94"/>
      <w:bookmarkEnd w:id="95"/>
      <w:bookmarkEnd w:id="96"/>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中国国际贸易促进委员会天津市分会（中国国际商会天津商会)会展服务中心2024年度无机关运行经费。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7" w:name="_Toc1464993319"/>
      <w:bookmarkStart w:id="98" w:name="_Toc2053194528"/>
      <w:bookmarkStart w:id="99" w:name="_Toc169354537"/>
      <w:bookmarkStart w:id="100" w:name="_Toc376739118"/>
      <w:r>
        <w:rPr>
          <w:rFonts w:ascii="黑体" w:eastAsia="黑体" w:hAnsi="黑体" w:cs="仿宋_GB2312" w:hint="eastAsia"/>
          <w:sz w:val="30"/>
          <w:szCs w:val="30"/>
        </w:rPr>
        <w:t xml:space="preserve">十一、政府采购支出情况说明</w:t>
      </w:r>
      <w:bookmarkEnd w:id="97"/>
      <w:bookmarkEnd w:id="98"/>
      <w:bookmarkEnd w:id="99"/>
      <w:bookmarkEnd w:id="100"/>
    </w:p>
    <w:p>
      <w:pPr>
        <w:spacing w:line="600" w:lineRule="exact"/>
        <w:ind w:firstLine="600" w:firstLineChars="200"/>
        <w:jc w:val="both"/>
        <w:rPr>
          <w:rFonts w:eastAsia="仿宋_GB2312"/>
          <w:sz w:val="30"/>
          <w:szCs w:val="30"/>
        </w:rPr>
      </w:pPr>
      <w:r>
        <w:rPr>
          <w:rFonts w:eastAsia="仿宋_GB2312" w:hint="eastAsia"/>
          <w:sz w:val="30"/>
          <w:szCs w:val="30"/>
        </w:rPr>
        <w:t xml:space="preserve">中国国际贸易促进委员会天津市分会（中国国际商会天津商会)会展服务中心2024年政府采购支出总额3,980.00元，其中：政府采购货物支出3,980.00元、政府采购工程支出0.00元、政府采购服务支出0.00元。授予中小企业合同金额3,980.00元，占政府采购支出总额的100.000%，其中：授予小微企业合同金额3,980.00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101" w:name="_Toc125708453"/>
      <w:bookmarkStart w:id="102" w:name="_Toc925871084"/>
      <w:bookmarkStart w:id="103" w:name="_Toc1242699578"/>
      <w:bookmarkStart w:id="104" w:name="_Toc1072564870"/>
      <w:r>
        <w:rPr>
          <w:rFonts w:ascii="黑体" w:eastAsia="黑体" w:hAnsi="黑体" w:cs="仿宋_GB2312" w:hint="eastAsia"/>
          <w:sz w:val="30"/>
          <w:szCs w:val="30"/>
        </w:rPr>
        <w:t xml:space="preserve">十二、国有资产占有使用情况说明</w:t>
      </w:r>
      <w:bookmarkEnd w:id="101"/>
      <w:bookmarkEnd w:id="102"/>
      <w:bookmarkEnd w:id="103"/>
      <w:bookmarkEnd w:id="104"/>
    </w:p>
    <w:p>
      <w:pPr>
        <w:spacing w:line="600" w:lineRule="exact"/>
        <w:ind w:firstLine="600" w:firstLineChars="200"/>
        <w:jc w:val="both"/>
        <w:rPr>
          <w:rFonts w:eastAsia="仿宋_GB2312"/>
          <w:sz w:val="30"/>
          <w:szCs w:val="30"/>
        </w:rPr>
      </w:pPr>
      <w:bookmarkStart w:id="105" w:name="_Toc620037172"/>
      <w:r>
        <w:rPr>
          <w:rFonts w:eastAsia="仿宋_GB2312" w:hint="eastAsia"/>
          <w:sz w:val="30"/>
          <w:szCs w:val="30"/>
        </w:rPr>
        <w:t xml:space="preserve">中国国际贸易促进委员会天津市分会（中国国际商会天津商会)会展服务中心2024年度无国有资产占有使用情况。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6" w:name="_Toc1773340371"/>
      <w:bookmarkStart w:id="107" w:name="_Toc448802626"/>
      <w:bookmarkStart w:id="108" w:name="_Toc1805544570"/>
      <w:r>
        <w:rPr>
          <w:rFonts w:ascii="黑体" w:eastAsia="黑体" w:hAnsi="黑体" w:cs="仿宋_GB2312" w:hint="eastAsia"/>
          <w:sz w:val="30"/>
          <w:szCs w:val="30"/>
        </w:rPr>
        <w:t xml:space="preserve">十三、预算绩效情况说明</w:t>
      </w:r>
      <w:bookmarkEnd w:id="105"/>
      <w:bookmarkEnd w:id="106"/>
      <w:bookmarkEnd w:id="107"/>
      <w:bookmarkEnd w:id="108"/>
    </w:p>
    <w:p>
      <w:pPr>
        <w:spacing w:line="600" w:lineRule="exact"/>
        <w:jc w:val="both"/>
        <w:rPr>
          <w:rFonts w:eastAsia="仿宋_GB2312"/>
          <w:sz w:val="30"/>
          <w:szCs w:val="30"/>
        </w:rPr>
      </w:pPr>
      <w:r>
        <w:rPr>
          <w:rFonts w:eastAsia="仿宋_GB2312" w:hint="eastAsia"/>
          <w:sz w:val="30"/>
          <w:szCs w:val="30"/>
        </w:rPr>
        <w:t xml:space="preserve">    中国国际贸易促进委员会天津市分会（中国国际商会天津商会)会展服务中心2024年度没有项目支出,无需开展绩效自评。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9" w:name="_Toc1843655880"/>
      <w:bookmarkStart w:id="110" w:name="_Toc1063166918"/>
      <w:bookmarkStart w:id="111" w:name="_Toc1753562331"/>
      <w:bookmarkStart w:id="112" w:name="_Toc1374094560"/>
      <w:r>
        <w:rPr>
          <w:rFonts w:ascii="黑体" w:eastAsia="黑体" w:hAnsi="黑体" w:cs="仿宋_GB2312" w:hint="eastAsia"/>
          <w:sz w:val="30"/>
          <w:szCs w:val="30"/>
        </w:rPr>
        <w:t xml:space="preserve">十四、教育、医疗卫生、社会保障和就业、住房保障、涉农补贴等民生支出情况说明</w:t>
      </w:r>
      <w:bookmarkEnd w:id="109"/>
      <w:bookmarkEnd w:id="110"/>
      <w:bookmarkEnd w:id="111"/>
      <w:bookmarkEnd w:id="112"/>
    </w:p>
    <w:p>
      <w:pPr>
        <w:spacing w:line="600" w:lineRule="exact"/>
        <w:rPr>
          <w:rFonts w:eastAsia="楷体"/>
          <w:sz w:val="30"/>
          <w:szCs w:val="30"/>
        </w:rPr>
      </w:pPr>
      <w:r>
        <w:rPr>
          <w:rFonts w:eastAsia="仿宋_GB2312" w:hint="eastAsia"/>
          <w:sz w:val="30"/>
          <w:szCs w:val="30"/>
        </w:rPr>
        <w:t xml:space="preserve">    中国国际贸易促进委员会天津市分会（中国国际商会天津商会)会展服务中心不属于乡、镇、街级单位,不涉及公开2024年度教育、医疗卫生、社会保障和就业、住房保障、涉农补贴等民生支出情况。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3" w:name="_Toc1582447786"/>
      <w:bookmarkStart w:id="114" w:name="_Toc56525689"/>
      <w:bookmarkStart w:id="115" w:name="_Toc368130082"/>
      <w:bookmarkStart w:id="116" w:name="_Toc282832597"/>
      <w:r>
        <w:rPr>
          <w:rFonts w:ascii="方正小标宋简体" w:eastAsia="方正小标宋简体" w:hAnsi="方正小标宋简体" w:cs="方正小标宋简体" w:hint="eastAsia"/>
          <w:b w:val="0"/>
        </w:rPr>
        <w:t xml:space="preserve">第四部分  名词解释</w:t>
      </w:r>
      <w:bookmarkEnd w:id="113"/>
      <w:bookmarkEnd w:id="114"/>
      <w:bookmarkEnd w:id="115"/>
      <w:bookmarkEnd w:id="11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header" Target="header3.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customXml" Target="../customXml/item3.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styles" Target="styles.xml" /><Relationship Id="rId35" Type="http://schemas.openxmlformats.org/officeDocument/2006/relationships/webSettings" Target="webSettings.xml" /><Relationship Id="rId36" Type="http://schemas.openxmlformats.org/officeDocument/2006/relationships/fontTable" Target="fontTable.xml" /><Relationship Id="rId37"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05a781-7fa6-463e-aa16-b44e334a6848}">
  <ds:schemaRefs/>
</ds:datastoreItem>
</file>

<file path=customXml/itemProps11.xml><?xml version="1.0" encoding="utf-8"?>
<ds:datastoreItem xmlns:ds="http://schemas.openxmlformats.org/officeDocument/2006/customXml" ds:itemID="{9B7E5BBC-85B6-4507-A266-8A5908359F3F}">
  <ds:schemaRefs/>
</ds:datastoreItem>
</file>

<file path=customXml/itemProps12.xml><?xml version="1.0" encoding="utf-8"?>
<ds:datastoreItem xmlns:ds="http://schemas.openxmlformats.org/officeDocument/2006/customXml" ds:itemID="{A460A401-5645-4B19-9032-4F3214354AD2}">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11412D9-9BD1-49C6-898E-32E5B10E4A57}">
  <ds:schemaRefs/>
</ds:datastoreItem>
</file>

<file path=customXml/itemProps17.xml><?xml version="1.0" encoding="utf-8"?>
<ds:datastoreItem xmlns:ds="http://schemas.openxmlformats.org/officeDocument/2006/customXml" ds:itemID="{093F2D8C-60D1-42DB-8DB8-50630DD737DE}">
  <ds:schemaRefs/>
</ds:datastoreItem>
</file>

<file path=customXml/itemProps18.xml><?xml version="1.0" encoding="utf-8"?>
<ds:datastoreItem xmlns:ds="http://schemas.openxmlformats.org/officeDocument/2006/customXml" ds:itemID="{E3799C1F-725D-428D-8919-8F8656367B63}">
  <ds:schemaRefs/>
</ds:datastoreItem>
</file>

<file path=customXml/itemProps19.xml><?xml version="1.0" encoding="utf-8"?>
<ds:datastoreItem xmlns:ds="http://schemas.openxmlformats.org/officeDocument/2006/customXml" ds:itemID="{68CD3A8F-9C94-403B-AEAA-050E2144B59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C3AB585A-6BA2-4FC7-BE37-D151DAAAB6C4}">
  <ds:schemaRefs/>
</ds:datastoreItem>
</file>

<file path=customXml/itemProps21.xml><?xml version="1.0" encoding="utf-8"?>
<ds:datastoreItem xmlns:ds="http://schemas.openxmlformats.org/officeDocument/2006/customXml" ds:itemID="{217734FF-E389-4970-B253-703D7FC180DD}">
  <ds:schemaRefs/>
</ds:datastoreItem>
</file>

<file path=customXml/itemProps22.xml><?xml version="1.0" encoding="utf-8"?>
<ds:datastoreItem xmlns:ds="http://schemas.openxmlformats.org/officeDocument/2006/customXml" ds:itemID="{1709EA4B-BC17-47D8-8A6C-F6BE750A562F}">
  <ds:schemaRefs/>
</ds:datastoreItem>
</file>

<file path=customXml/itemProps23.xml><?xml version="1.0" encoding="utf-8"?>
<ds:datastoreItem xmlns:ds="http://schemas.openxmlformats.org/officeDocument/2006/customXml" ds:itemID="{98cfa169-6c8a-4aa9-ae2b-662239092801}">
  <ds:schemaRefs/>
</ds:datastoreItem>
</file>

<file path=customXml/itemProps24.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29C29699-4F72-40F4-B55A-008B4CA23939}">
  <ds:schemaRefs/>
</ds:datastoreItem>
</file>

<file path=customXml/itemProps4.xml><?xml version="1.0" encoding="utf-8"?>
<ds:datastoreItem xmlns:ds="http://schemas.openxmlformats.org/officeDocument/2006/customXml" ds:itemID="{52C2F3B5-2FED-4CF7-BADE-85673CCA97A7}">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9A986101-A5D4-42F8-9BD2-ED831C27E849}">
  <ds:schemaRefs/>
</ds:datastoreItem>
</file>

<file path=customXml/itemProps9.xml><?xml version="1.0" encoding="utf-8"?>
<ds:datastoreItem xmlns:ds="http://schemas.openxmlformats.org/officeDocument/2006/customXml" ds:itemID="{696F2980-23D8-403F-A1D5-FC1C8D10704C}">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2025-07-05T19:27:00Z</cp:lastPrinted>
  <dcterms:created xsi:type="dcterms:W3CDTF">2019-08-08T10:37:00Z</dcterms:created>
  <dcterms:modified xsi:type="dcterms:W3CDTF">2025-08-21T13:42:01Z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