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中国国际贸易促进委员会天津市分会</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12</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1.促进天津对外经贸活动、进出口贸易和双向投资、中外经济技术交流与合作，开展同世界各国的经贸交往。</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2.围绕重大国家战略，搭建对外经贸合作平台，扩大天津与境内外工商界经贸交流。</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3.组织天津市经贸代表团出国访问与考察，邀请和接待境外经贸代表团来访；组织、参加或与外国相应机构联合召开有关经济贸易技术合作和商事法律方面的国际会议及活动。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4.与各国工商组织在津设立的代表机构以及各国在津成立的商会进行联络；协助实施促进天津与香港、澳门特别行政区及台湾地区的经贸交流。</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5.在国（境）外主办或承办天津经济贸易展览会或技术交流会，组织参加世界博览会和国际经济贸易展览会，在天津主办有关国际经贸展览会、博览会和技术交流会。</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6.跟踪分析国内外经贸动态，开展相关研究，宣介有关经贸政策，发挥在外经贸领域代言工商的作用，向政府有关部门提供咨询服务，反映情况和意见。</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7.向国内外有关企业和机构提供经贸信息、咨询和资信调查等各类服务；编辑、出版经贸类刊物、电子出版物及其他出版物。</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出具中国出口商品原产地证明书、涉外经贸文件证明书，代办领事认证，ATA单证册；组织开展国际经贸摩擦应对，调解有关商事、海事争议，开展相关法律事务的国际交流活动，助力推动优化天津营商环境。办理知识产权咨询、海外布局维权、纠纷应对指导、公益知产服务等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中国国际贸易促进委员会天津市分会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部门本级（内设7个职能处室）和2个所属预算单位（不含本级），具体构成如下：</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1.中国国际贸易促进委员会天津市分会（本级）</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2.中国国际贸易促进委员会天津市分会（中国国际商会天津商会）商事法律服务中心</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3.中国国际贸易促进委员会天津市分会（中国国际商会天津商会）会展服务中心。</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中国国际贸易促进委员会天津市分会</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31587883.17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36233261.58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19570735.02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1888191.12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1031887.92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101428.85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12186719.62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51260047.04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51360060.24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280819.05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97817.85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-112512.98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-29524.98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16127.32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-128640.30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51428353.11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51428353.11</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51260047.04</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31587883.17</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19570735.02</w:t>
            </w: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101428.85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36133248.38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16461084.51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19570735.02</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101428.85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商贸事务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36133248.38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16461084.51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19570735.02</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101428.85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16451750.24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16451750.24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2011350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19672163.87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19570735.02</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101428.85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其他商贸事务支出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9334.27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9334.27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1888191.12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1888191.12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1888191.12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1888191.12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1258794.08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1258794.08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629397.04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629397.04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1031887.92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1031887.92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1031887.92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1031887.92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827238.66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827238.66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公务员医疗补助</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157349.26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157349.26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47300.00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47300.00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商业服务业等支出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12186719.62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12186719.62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商业流通事务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2160299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其他商业流通事务支出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涉外发展服务支出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2160699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其他涉外发展服务支出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中国国际贸易促进委员会天津市分会</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51428353.11</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51260047.04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31587883.17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19570735.02</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101428.85</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573301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中国国际贸易促进委员会天津市分会（本级）</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31407710.49</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31391583.17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31391583.17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573701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中国国际贸易促进委员会天津市分会（中国国际商会天津商会）商事法律服务中心</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6283820.55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6412460.85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196300.00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6114732.00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101428.85</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573702</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中国国际贸易促进委员会天津市分会（中国国际商会天津商会)会展服务中心</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13736822.07</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13456003.02</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13456003.02</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中国国际贸易促进委员会天津市分会</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168306.07</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16127.32</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16127.32</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152178.75</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152178.75</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573301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中国国际贸易促进委员会天津市分会（本级）</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16127.32</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16127.32</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16127.32</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573701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中国国际贸易促进委员会天津市分会（中国国际商会天津商会）商事法律服务中心</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-128640.30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-128640.30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-128640.30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573702</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中国国际贸易促进委员会天津市分会（中国国际商会天津商会)会展服务中心</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280819.05</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280819.05</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280819.05</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51360060.24</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33112262.35</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12216053.89</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6031744.00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一般公共服务支出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36233261.58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30192183.31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6031744.00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20113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商贸事务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36233261.58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30192183.31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6031744.00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2011301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16451750.24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16451750.24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2011350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事业运行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19772177.07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13740433.07</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6031744.00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2011399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其他商贸事务支出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1258794.08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1258794.08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629397.04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629397.04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1031887.92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1031887.92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1031887.92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1031887.92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827238.66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827238.66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公务员医疗补助</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157349.26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157349.26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商业服务业等支出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12186719.62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12186719.62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21602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商业流通事务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2160299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其他商业流通事务支出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21606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涉外发展服务支出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2160699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其他涉外发展服务支出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31587883.17</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16461084.51</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16461084.51</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1888191.12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1888191.12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1031887.92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1031887.92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12186719.62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12186719.62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31587883.17</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31587883.17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31587883.17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16127.32</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16127.32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16127.32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16127.32</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31604010.49</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31604010.49</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31604010.49</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中国国际贸易促进委员会天津市分会</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31587883.17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19371829.28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17428291.49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1943537.79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12216053.89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一般公共服务支出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16461084.51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16451750.24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14508212.45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1943537.79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9334.27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20113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商贸事务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16461084.51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16451750.24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14508212.45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1943537.79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9334.27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2011301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16451750.24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16451750.24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14508212.45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1943537.79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2011399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其他商贸事务支出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9334.27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9334.27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1258794.08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1258794.08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1258794.08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629397.04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629397.04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629397.04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1031887.92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1031887.92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1031887.92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1031887.92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1031887.92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1031887.92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827238.66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827238.66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827238.66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公务员医疗补助</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157349.26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157349.26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157349.26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47300.00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商业服务业等支出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12186719.62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12186719.62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21602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商业流通事务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43500.00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43500.00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2160299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其他商业流通事务支出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43500.00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43500.00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21606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涉外发展服务支出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12143219.62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12143219.62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2160699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其他涉外发展服务支出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12143219.62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12143219.62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17068490.69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1916837.79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3494591.80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41962.62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26700.00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3507600.80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16906.00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2507454.00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1210.60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26700.00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10944.00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72370.00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1258794.08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32272.77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629397.04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84000.00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827238.66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157349.26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162616.32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15735.05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4036086.00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27930.00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634244.00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359800.80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11892.07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2790.00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312500.80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47300.00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127000.00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444420.00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18639.32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588095.00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273789.09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17428291.49</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1943537.79</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中国国际贸易促进委员会天津市分会2025年度政府性基金预算财政拨款收入支出决算表为空表。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中国国际贸易促进委员会天津市分会2025年度国有资本经营预算财政拨款收入支出决算表为空表。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370427.59</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339963.27</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18639.32</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18639.32</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11825.00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12216053.89</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12216053.89</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一般公共服务支出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20113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商贸事务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2011399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其他商贸事务支出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商业服务业等支出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12186719.62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12186719.62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商业流通事务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2160299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其他商业流通事务支出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涉外发展服务支出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其他涉外发展服务支出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51,428,353.11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减少457,532.10元，下降0.88%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外贸企业服务性等收入减少导致会属事业单位收、支减少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一般公共预算财政拨款收入31,587,883.17元、事业单位经营收入19,570,735.02元、其他收入101,428.85元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bookmarkStart w:id="17" w:name="_Toc6621"/>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一般公共服务支出36,233,261.58元、社会保障和就业支出1,888,191.12元、卫生健康支出1,031,887.92元、商业服务业等支出12,186,719.62元、债务付息支出20,000.00元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中国国际贸易促进委员会天津市分会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51,260,047.04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减少625,658.36元，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外贸企业服务性等经营收入减少</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一般公共预算财政拨款收入31,587,883.17元，占61.62%；事业单位经营收入19,570,735.02元，占38.18%；其他收入101,428.85元，占0.20%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中国国际贸易促进委员会天津市分会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51,360,060.24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增加253,753.67元，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人员增加导致基本支出增加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基本支出33,112,262.35元，占64.47%；项目支出12,216,053.89元，占23.79%；经营支出6,031,744.00元，占11.74%</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31,604,010.49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增加326,970.03元，增长1.05%，</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人员增加导致基本支出增加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一般公共预算财政拨款31,587,883.17元、年初财政拨款结转和结余16,127.32元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一般公共服务支出16,461,084.51元、社会保障和就业支出1,888,191.12元、卫生健康支出1,031,887.92元、商业服务业等支出12,186,719.62元、债务付息支出20,000.00元、年末财政拨款结转和结余16,127.32元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中国国际贸易促进委员会天津市分会2025年度一般公共预算财政拨款支出合计31,587,883.17元，占本年支出合计的61.50%。与2024年度相比，一般公共预算财政拨款支出</w:t>
      </w:r>
      <w:r>
        <w:rPr>
          <w:rFonts w:eastAsia="仿宋_GB2312" w:hint="eastAsia"/>
          <w:sz w:val="30"/>
          <w:szCs w:val="30"/>
          <w:highlight w:val="none"/>
          <w:lang w:val="en-US" w:eastAsia="zh-CN"/>
        </w:rPr>
        <w:t xml:space="preserve">增加337,169.61元</w:t>
      </w:r>
      <w:r>
        <w:rPr>
          <w:rFonts w:eastAsia="仿宋_GB2312" w:hint="eastAsia"/>
          <w:sz w:val="30"/>
          <w:szCs w:val="30"/>
          <w:highlight w:val="none"/>
          <w:lang w:val="en-US" w:eastAsia="zh-CN"/>
        </w:rPr>
        <w:t xml:space="preserve">，增长1.08%</w:t>
      </w:r>
      <w:r>
        <w:rPr>
          <w:rFonts w:eastAsia="仿宋_GB2312" w:hint="eastAsia"/>
          <w:sz w:val="30"/>
          <w:szCs w:val="30"/>
          <w:highlight w:val="none"/>
          <w:lang w:val="en-US" w:eastAsia="zh-CN"/>
        </w:rPr>
        <w:t xml:space="preserve">，主要原因是人员增加导致基本支出增加。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2025年度一般公共预算财政拨款支出31,587,883.17元，主要用于以下方面：</w:t>
      </w:r>
      <w:r>
        <w:rPr>
          <w:rFonts w:eastAsia="仿宋_GB2312" w:hint="eastAsia"/>
          <w:sz w:val="30"/>
          <w:szCs w:val="30"/>
          <w:highlight w:val="none"/>
        </w:rPr>
        <w:t xml:space="preserve">一般公共服务支出（类）支出16,461,084.51元，占52.11%，社会保障和就业支出（类）支出1,888,191.12元，占5.98%，卫生健康支出（类）支出1,031,887.92元，占3.27%，商业服务业等支出（类）支出12,186,719.62元，占38.58%，债务付息支出（类）支出20,000.00元，占0.06%</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2025年度一般公共预算财政拨款支出年初预算为31,608,000.00元，支出决算为31,587,883.17元</w:t>
      </w:r>
      <w:r>
        <w:rPr>
          <w:rFonts w:eastAsia="仿宋_GB2312" w:hint="eastAsia"/>
          <w:sz w:val="30"/>
          <w:szCs w:val="30"/>
          <w:highlight w:val="none"/>
          <w:lang w:val="en-US" w:eastAsia="zh-CN"/>
        </w:rPr>
        <w:t xml:space="preserve">，完成年初预算的99.94%</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1.一般公共服务支出（类）商贸事务（款）行政运行（项）年初预算为15,565,000.00元，支出决算为16,451,750.24元，完成年初预算的105.70%，决算数大于年初预算数的主要原因是：人员增加导致基本支出增加。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2.一般公共服务支出（类）商贸事务（款）其他商贸事务支出（项）年初预算为0.00元，支出决算为9,334.27元，决算数大于年初预算数的主要原因是：年中追加因公出国（境）费。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行政事业单位养老支出（款）机关事业单位基本养老保险缴费支出（项）年初预算为1,286,000.00元，支出决算为1,258,794.08元，完成年初预算的97.88%，决算数小于年初预算数的主要原因是：预算执行中人员变动导致产生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行政事业单位养老支出（款）机关事业单位职业年金缴费支出（项）年初预算为643,000.00元，支出决算为629,397.04元，完成年初预算的97.88%，决算数小于年初预算数的主要原因是：预算执行中人员变动导致产生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行政单位医疗（项）年初预算为844,000.00元，支出决算为827,238.66元，完成年初预算的98.01%，决算数小于年初预算数的主要原因是：预算执行中人员变动导致产生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公务员医疗补助（项）年初预算为161,000.00元，支出决算为157,349.26元，完成年初预算的97.73%，决算数小于年初预算数的主要原因是：预算执行中人员变动导致产生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7.卫生健康支出（类）行政事业单位医疗（款）其他行政事业单位医疗支出（项）年初预算为49,000.00元，支出决算为47,300.00元，完成年初预算的96.53%，决算数小于年初预算数的主要原因是：减少一名退休人员。</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8.商业服务业等支出（类）商业流通事务（款）其他商业流通事务支出（项）年初预算为0.00元，支出决算为43,500.00元，决算数大于年初预算数的主要原因是：年中追加抚恤金支出。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9.商业服务业等支出（类）涉外发展服务支出（款）其他涉外发展服务支出（项）年初预算为13,040,000.00元，支出决算为12,143,219.62元，完成年初预算的93.12%，决算数小于年初预算数的主要原因是：根据工作实际，统筹优化资金使用结构，合理压减项目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10.债务付息支出（类）地方政府一般债务付息支出（款）地方政府一般债券付息支出（项）年初预算为20,000.00元，支出决算为20,000.00元，完成年初预算的100.00%，决算数与年初预算数持平的主要原因是：严格按照预算执行。</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中国国际贸易促进委员会天津市分会2025年度一般公共预算财政拨款基本支出合计19,371,829.28元，与2024年度相比</w:t>
      </w:r>
      <w:r>
        <w:rPr>
          <w:rFonts w:eastAsia="仿宋_GB2312" w:hint="eastAsia"/>
          <w:sz w:val="30"/>
          <w:szCs w:val="30"/>
          <w:highlight w:val="none"/>
          <w:lang w:val="en-US" w:eastAsia="zh-CN"/>
        </w:rPr>
        <w:t xml:space="preserve">增加1,449,878.07元，</w:t>
      </w:r>
      <w:r>
        <w:rPr>
          <w:rFonts w:eastAsia="仿宋_GB2312" w:hint="eastAsia"/>
          <w:sz w:val="30"/>
          <w:szCs w:val="30"/>
          <w:highlight w:val="none"/>
          <w:lang w:val="en-US" w:eastAsia="zh-CN"/>
        </w:rPr>
        <w:t xml:space="preserve">主要原因是人员增加导致基本支出增加。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人员经费17,428,291.49元，主要包括</w:t>
      </w:r>
      <w:r>
        <w:rPr>
          <w:rFonts w:eastAsia="仿宋_GB2312" w:hint="eastAsia"/>
          <w:sz w:val="30"/>
          <w:szCs w:val="30"/>
          <w:highlight w:val="none"/>
          <w:lang w:val="en-US" w:eastAsia="zh-CN"/>
        </w:rPr>
        <w:t xml:space="preserve">基本工资、津贴补贴、奖金、机关事业单位基本养老保险缴费、职业年金缴费、职工基本医疗保险缴费、公务员医疗补助缴费、其他社会保障缴费、住房公积金、其他工资福利支出、退休费、医疗费补助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公用经费1,943,537.79元，主要包括</w:t>
      </w:r>
      <w:r>
        <w:rPr>
          <w:rFonts w:eastAsia="仿宋_GB2312" w:hint="eastAsia"/>
          <w:sz w:val="30"/>
          <w:szCs w:val="30"/>
          <w:highlight w:val="none"/>
          <w:lang w:val="en-US" w:eastAsia="zh-CN"/>
        </w:rPr>
        <w:t xml:space="preserve">办公费、印刷费、手续费、水费、电费、邮电费、取暖费、差旅费、维修(护)费、培训费、公务接待费、工会经费、福利费、公务用车运行维护费、其他交通费用、其他商品和服务支出、办公设备购置</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493,690.30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370,427.59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减少123,262.71元</w:t>
      </w:r>
      <w:r>
        <w:rPr>
          <w:rFonts w:eastAsia="仿宋_GB2312" w:hint="eastAsia"/>
          <w:sz w:val="30"/>
          <w:szCs w:val="30"/>
          <w:highlight w:val="none"/>
          <w:lang w:val="en-US" w:eastAsia="zh-CN"/>
        </w:rPr>
        <w:t xml:space="preserve">，完成预算的75.03%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支出决算较上年减少198,451.28元</w:t>
      </w:r>
      <w:r>
        <w:rPr>
          <w:rFonts w:eastAsia="仿宋_GB2312" w:hint="eastAsia"/>
          <w:sz w:val="30"/>
          <w:szCs w:val="30"/>
          <w:highlight w:val="none"/>
          <w:lang w:val="en-US" w:eastAsia="zh-CN"/>
        </w:rPr>
        <w:t xml:space="preserve">，下降34.88%</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决算数小于预算数的主要原因是厉行节约，压减“三公”经费开支；</w:t>
      </w:r>
      <w:r>
        <w:rPr>
          <w:rFonts w:eastAsia="仿宋_GB2312" w:hint="eastAsia"/>
          <w:sz w:val="30"/>
          <w:szCs w:val="30"/>
          <w:highlight w:val="none"/>
          <w:lang w:val="en-US" w:eastAsia="zh-CN"/>
        </w:rPr>
        <w:t xml:space="preserve">决算数较上年减少的主要原因是厉行节约，压减“三公”经费开支。</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420,690.30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339,963.27</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减少80,727.03元</w:t>
      </w:r>
      <w:r>
        <w:rPr>
          <w:rFonts w:eastAsia="仿宋_GB2312" w:hint="eastAsia"/>
          <w:sz w:val="30"/>
          <w:szCs w:val="30"/>
          <w:highlight w:val="none"/>
          <w:lang w:val="en-US" w:eastAsia="zh-CN"/>
        </w:rPr>
        <w:t xml:space="preserve">，完成预算的80.81%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支出决算较上年减少184,432.02元</w:t>
      </w:r>
      <w:r>
        <w:rPr>
          <w:rFonts w:eastAsia="仿宋_GB2312" w:hint="eastAsia"/>
          <w:sz w:val="30"/>
          <w:szCs w:val="30"/>
          <w:highlight w:val="none"/>
          <w:lang w:val="en-US" w:eastAsia="zh-CN"/>
        </w:rPr>
        <w:t xml:space="preserve">，下降35.17%</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决算数小于预算数的主要原因是机票价格和汇率随时变化；</w:t>
      </w:r>
      <w:r>
        <w:rPr>
          <w:rFonts w:eastAsia="仿宋_GB2312" w:hint="eastAsia"/>
          <w:sz w:val="30"/>
          <w:szCs w:val="30"/>
          <w:highlight w:val="none"/>
          <w:lang w:val="en-US" w:eastAsia="zh-CN"/>
        </w:rPr>
        <w:t xml:space="preserve">决算数较上年减少的主要原因是严控因公出国（境）团组数量、规模和出访人次，同时优化出访行程，压减相关支出。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7</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19</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26,000.00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18,639.32</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减少7,360.68元</w:t>
      </w:r>
      <w:r>
        <w:rPr>
          <w:rFonts w:eastAsia="仿宋_GB2312" w:hint="eastAsia"/>
          <w:sz w:val="30"/>
          <w:szCs w:val="30"/>
          <w:highlight w:val="none"/>
          <w:lang w:val="en-US" w:eastAsia="zh-CN"/>
        </w:rPr>
        <w:t xml:space="preserve">，完成预算的71.69%</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支出决算较上年减少3,688.68元</w:t>
      </w:r>
      <w:r>
        <w:rPr>
          <w:rFonts w:eastAsia="仿宋_GB2312" w:hint="eastAsia"/>
          <w:sz w:val="30"/>
          <w:szCs w:val="30"/>
          <w:highlight w:val="none"/>
          <w:lang w:val="en-US" w:eastAsia="zh-CN"/>
        </w:rPr>
        <w:t xml:space="preserve">，下降16.52%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决算数小于预算数的主要原因是厉行节约，压减公务用车运行维护费开支；</w:t>
      </w:r>
      <w:r>
        <w:rPr>
          <w:rFonts w:eastAsia="仿宋_GB2312" w:hint="eastAsia"/>
          <w:sz w:val="30"/>
          <w:szCs w:val="30"/>
          <w:highlight w:val="none"/>
          <w:lang w:val="en-US" w:eastAsia="zh-CN"/>
        </w:rPr>
        <w:t xml:space="preserve">决算数较上年减少的主要原因是厉行节约，压减公务用车运行维护费开支。</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26,000.00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18,639.32</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减少7,360.68元</w:t>
      </w:r>
      <w:r>
        <w:rPr>
          <w:rFonts w:eastAsia="仿宋_GB2312" w:hint="eastAsia"/>
          <w:sz w:val="30"/>
          <w:szCs w:val="30"/>
          <w:highlight w:val="none"/>
          <w:lang w:val="en-US" w:eastAsia="zh-CN"/>
        </w:rPr>
        <w:t xml:space="preserve">，完成预算的71.69%</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支出决算较上年减少3,688.68元</w:t>
      </w:r>
      <w:r>
        <w:rPr>
          <w:rFonts w:eastAsia="仿宋_GB2312" w:hint="eastAsia"/>
          <w:sz w:val="30"/>
          <w:szCs w:val="30"/>
          <w:highlight w:val="none"/>
          <w:lang w:val="en-US" w:eastAsia="zh-CN"/>
        </w:rPr>
        <w:t xml:space="preserve">，下降16.52%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决算数小于预算数的主要原因是厉行节约，压减公务用车运行维护费开支；</w:t>
      </w:r>
      <w:r>
        <w:rPr>
          <w:rFonts w:eastAsia="仿宋_GB2312" w:hint="eastAsia"/>
          <w:sz w:val="30"/>
          <w:szCs w:val="30"/>
          <w:highlight w:val="none"/>
          <w:lang w:val="en-US" w:eastAsia="zh-CN"/>
        </w:rPr>
        <w:t xml:space="preserve">决算数较上年减少的主要原因是厉行节约，压减公务用车运行维护费开支。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其中：2辆为机关事务管理局所有。</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47,000.00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11,825.00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减少35,175.00元</w:t>
      </w:r>
      <w:r>
        <w:rPr>
          <w:rFonts w:eastAsia="仿宋_GB2312" w:hint="eastAsia"/>
          <w:sz w:val="30"/>
          <w:szCs w:val="30"/>
          <w:highlight w:val="none"/>
          <w:lang w:val="en-US" w:eastAsia="zh-CN"/>
        </w:rPr>
        <w:t xml:space="preserve">，完成预算的25.16%</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支出决算较上年减少10,330.58元</w:t>
      </w:r>
      <w:r>
        <w:rPr>
          <w:rFonts w:eastAsia="仿宋_GB2312" w:hint="eastAsia"/>
          <w:sz w:val="30"/>
          <w:szCs w:val="30"/>
          <w:highlight w:val="none"/>
          <w:lang w:val="en-US" w:eastAsia="zh-CN"/>
        </w:rPr>
        <w:t xml:space="preserve">，下降46.63%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决算数小于预算数的主要原因是厉行节约，压减公务接待费开支；</w:t>
      </w:r>
      <w:r>
        <w:rPr>
          <w:rFonts w:eastAsia="仿宋_GB2312" w:hint="eastAsia"/>
          <w:sz w:val="30"/>
          <w:szCs w:val="30"/>
          <w:highlight w:val="none"/>
          <w:lang w:val="en-US" w:eastAsia="zh-CN"/>
        </w:rPr>
        <w:t xml:space="preserve">决算数较上年减少的主要原因是厉行节约，压减公务接待费开支。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9</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35</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19</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机关运行经费是指行政单位和参照公务员法管理的事业单位使用财政拨款安排的基本支出中的日常公用经费支出，中国国际贸易促进委员会天津市分会2025年度机关运行经费年初预算2,053,000.00元，决算数1,923,537.79元，与年初预算相比</w:t>
      </w:r>
      <w:r>
        <w:rPr>
          <w:rFonts w:eastAsia="仿宋_GB2312" w:hint="eastAsia"/>
          <w:sz w:val="30"/>
          <w:szCs w:val="30"/>
          <w:highlight w:val="none"/>
          <w:lang w:val="en-US" w:eastAsia="zh-CN"/>
        </w:rPr>
        <w:t xml:space="preserve">减少129,462.21元，</w:t>
      </w:r>
      <w:r>
        <w:rPr>
          <w:rFonts w:eastAsia="仿宋_GB2312" w:hint="eastAsia"/>
          <w:sz w:val="30"/>
          <w:szCs w:val="30"/>
          <w:highlight w:val="none"/>
          <w:lang w:val="en-US" w:eastAsia="zh-CN"/>
        </w:rPr>
        <w:t xml:space="preserve">完成年初预算的93.69%；</w:t>
      </w:r>
      <w:r>
        <w:rPr>
          <w:rFonts w:eastAsia="仿宋_GB2312" w:hint="eastAsia"/>
          <w:sz w:val="30"/>
          <w:szCs w:val="30"/>
          <w:highlight w:val="none"/>
          <w:lang w:val="en-US" w:eastAsia="zh-CN"/>
        </w:rPr>
        <w:t xml:space="preserve">比2024年增加31,485.00元</w:t>
      </w:r>
      <w:r>
        <w:rPr>
          <w:rFonts w:eastAsia="仿宋_GB2312" w:hint="eastAsia"/>
          <w:sz w:val="30"/>
          <w:szCs w:val="30"/>
          <w:highlight w:val="none"/>
          <w:lang w:val="en-US" w:eastAsia="zh-CN"/>
        </w:rPr>
        <w:t xml:space="preserve">，增长1.66%</w:t>
      </w:r>
      <w:r>
        <w:rPr>
          <w:rFonts w:eastAsia="仿宋_GB2312" w:hint="eastAsia"/>
          <w:sz w:val="30"/>
          <w:szCs w:val="30"/>
          <w:highlight w:val="none"/>
          <w:lang w:val="en-US" w:eastAsia="zh-CN"/>
        </w:rPr>
        <w:t xml:space="preserve">。主要原因是：人员增加导致基本支出增加。</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2025年政府采购支出总额7,681,529.56元，其中：政府采购货物支出58,924.40元、政府采购工程支出0.00元、政府采购服务支出7,622,605.16元。授予中小企业合同金额3,001,529.56元，占政府采购支出总额的39.07%，其中：授予小微企业合同金额3,001,529.56元，占政府采购支出总额的39.07%；货物采购授予中小企业合同金额占货物支出金额的100.00%，工程采购授予中小企业合同金额占工程支出金额的0.00%，服务采购授予中小企业合同金额占服务支出金额的38.60%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根据预算绩效管理要求，中国国际贸易促进委员会天津市分会已对17个2025年度市级项目开展绩效自评，涉及金额13,524,190.30元，自评结果已随部门决算一并公开。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本部门2025年度已对4个项目开展部门评价，涉及金额10,360,100.00元。</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中国国际贸易促进委员会天津市分会不属于乡、镇、街级单位，不涉及公开2025年度教育、医疗卫生、社会保障和就业、住房保障、涉农补贴等民生支出情况。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E1E1F022-159B-469C-B77E-A7E7AFE28C8A}"/>
    <w:embedBold r:id="rId2" w:subsetted="1" w:fontKey="{B3F30477-D775-4EA0-A1ED-C8CD6B842E98}"/>
  </w:font>
  <w:font w:name="Cambria">
    <w:panose1 w:val="02040503050406030204"/>
    <w:charset w:val="00"/>
    <w:family w:val="roman"/>
    <w:pitch w:val="default"/>
    <w:sig w:usb0="E00006FF" w:usb1="420024FF" w:usb2="02000000" w:usb3="00000000" w:csb0="2000019F" w:csb1="00000000"/>
    <w:embedRegular r:id="rId3" w:fontKey="{611F1224-0E9D-4EE4-A61B-3E449120F852}"/>
  </w:font>
  <w:font w:name="Calibri">
    <w:panose1 w:val="020F0502020204030204"/>
    <w:charset w:val="00"/>
    <w:family w:val="swiss"/>
    <w:pitch w:val="default"/>
    <w:sig w:usb0="E4002EFF" w:usb1="C200247B" w:usb2="00000009" w:usb3="00000000" w:csb0="200001FF" w:csb1="00000000"/>
    <w:embedRegular r:id="rId4" w:fontKey="{A672168A-D2A6-4ECF-81F8-40F85A0FCBFD}"/>
  </w:font>
  <w:font w:name="黑体">
    <w:panose1 w:val="02010609060101010101"/>
    <w:charset w:val="FFFFFF86"/>
    <w:family w:val="auto"/>
    <w:pitch w:val="default"/>
    <w:sig w:usb0="800002BF" w:usb1="38CF7CFA" w:usb2="00000016" w:usb3="00000000" w:csb0="00040001" w:csb1="00000000"/>
    <w:embedRegular r:id="rId5" w:subsetted="1" w:fontKey="{36810E37-5004-41B6-B471-55F1BA8BE1AD}"/>
    <w:embedBold r:id="rId6" w:subsetted="1" w:fontKey="{D6ECE1CF-02CD-42CA-8999-D483B9322B6E}"/>
  </w:font>
  <w:font w:name="方正小标宋简体">
    <w:altName w:val="黑体"/>
    <w:panose1 w:val="02000000000000000000"/>
    <w:charset w:val="FFFFFF86"/>
    <w:family w:val="auto"/>
    <w:pitch w:val="default"/>
    <w:sig w:usb0="00000001" w:usb1="08000000" w:usb2="00000000" w:usb3="00000000" w:csb0="00040000" w:csb1="00000000"/>
    <w:embedRegular r:id="rId7" w:fontKey="{4DBD89FE-A990-446E-9788-69CB4A300E88}"/>
    <w:embedBold r:id="rId8" w:fontKey="{0CE419BA-6024-4506-AF64-51C5D9438DA8}"/>
  </w:font>
  <w:font w:name="仿宋">
    <w:panose1 w:val="02010609060101010101"/>
    <w:charset w:val="FFFFFF86"/>
    <w:family w:val="auto"/>
    <w:pitch w:val="default"/>
    <w:sig w:usb0="800002BF" w:usb1="38CF7CFA" w:usb2="00000016" w:usb3="00000000" w:csb0="00040001" w:csb1="00000000"/>
    <w:embedRegular r:id="rId9" w:subsetted="1" w:fontKey="{F3A10044-D582-4CC7-AC04-FCC15BF48C93}"/>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C2C0CA77-3163-4AED-A7DD-E8C551596216}"/>
  </w:font>
  <w:font w:name="方正楷体_GB2312">
    <w:altName w:val="宋体"/>
    <w:panose1 w:val="02000000000000000000"/>
    <w:charset w:val="FFFFFF86"/>
    <w:family w:val="auto"/>
    <w:pitch w:val="default"/>
    <w:sig w:usb0="A00002BF" w:usb1="184F6CFA" w:usb2="00000012" w:usb3="00000000" w:csb0="00040001" w:csb1="00000000"/>
    <w:embedRegular r:id="rId11" w:fontKey="{01105623-701A-4729-B67E-BE253D4CEFE8}"/>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2" w:subsetted="1" w:fontKey="{5A44D7C7-5211-413D-9B9A-E65CE9F2FC31}"/>
    <w:embedBold r:id="rId13" w:subsetted="1" w:fontKey="{76894E64-6D87-430C-AAF0-47F6AEC06F07}"/>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9</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22</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32</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35</Pages>
  <Words>3930</Words>
  <Characters>23360</Characters>
  <Application>WPS Office_12.1.0.28043_F1E327BC-269C-435d-A152-05C5408002CA</Application>
  <DocSecurity>0</DocSecurity>
  <Lines>60</Lines>
  <Paragraphs>16</Paragraphs>
  <ScaleCrop>false</ScaleCrop>
  <Company>Microsoft</Company>
  <LinksUpToDate>false</LinksUpToDate>
  <CharactersWithSpaces>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2026-08-26T09:05:43Z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