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中国国际贸易促进委员会天津市分会（中国国际商会天津商会）商事法律服务中心</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开展经济贸易争议、纠纷调解服务；开展企业合规、国际经贸摩擦预警和应对、涉外经贸法律培训等相关法律服务；依授权承担海事、贸易仲裁相关咨询服务；开展海外知识产权风险预警与应对指导服务以及海外知识产权保护相关培训，帮助企业培育自主品牌，为企业提供海外知识产权维权援助服务；办理出口商品原产地证明书；办理涉外经贸文件证明和领事认证；办理暂准进口货物单证册(ATA单证册)；开展贸易推广交流服务；完成市贸促会（天津国际商会）交办的其他任务</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中国国际贸易促进委员会天津市分会（中国国际商会天津商会）商事法律服务中心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中国国际贸易促进委员会天津市分会（中国国际商会天津商会）商事法律服务中心。</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中国国际贸易促进委员会天津市分会（中国国际商会天津商会）商事法律服务中心</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196300.00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6140855.00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6114732.00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47300.00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101428.85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6412460.85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6231655.00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97817.85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-128640.30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-45652.30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-128640.30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6283820.55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6283820.55</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6412460.85</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196300.00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6114732.00</w:t>
            </w: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6321660.85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105500.00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6114732.00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商贸事务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6321660.85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105500.00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6114732.00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105500.00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105500.00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2011350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6216160.85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6114732.00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商业服务业等支出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商业流通事务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2160299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其他商业流通事务支出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中国国际贸易促进委员会天津市分会（中国国际商会天津商会）商事法律服务中心</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6283820.55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6412460.85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196300.00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6114732.00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101428.85</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573701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中国国际贸易促进委员会天津市分会（中国国际商会天津商会）商事法律服务中心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6283820.55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6412460.85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196300.00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6114732.00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101428.85</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中国国际贸易促进委员会天津市分会（中国国际商会天津商会）商事法律服务中心</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-128640.30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-128640.30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-128640.30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573701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中国国际贸易促进委员会天津市分会（中国国际商会天津商会）商事法律服务中心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-128640.30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-128640.30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-128640.30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6231655.00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156411.00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43500.00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6140855.00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109111.00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商贸事务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6140855.00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109111.00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2011350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6035355.00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3611.00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商业服务业等支出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商业流通事务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2160299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其他商业流通事务支出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105500.00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105500.00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47300.00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47300.00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196300.00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中国国际贸易促进委员会天津市分会（中国国际商会天津商会）商事法律服务中心</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196300.00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152800.00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132800.00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商贸事务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商业服务业等支出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商业流通事务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2160299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其他商业流通事务支出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132800.00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85500.00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47300.00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132800.00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20000.00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中国国际贸易促进委员会天津市分会（中国国际商会天津商会）商事法律服务中心2025年度政府性基金预算财政拨款收入支出决算表为空表。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中国国际贸易促进委员会天津市分会（中国国际商会天津商会）商事法律服务中心2025年度国有资本经营预算财政拨款收入支出决算表为空表。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中国国际贸易促进委员会天津市分会（中国国际商会天津商会）商事法律服务中心2025年财政拨款“三公”经费支出决算表为空表。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中国国际贸易促进委员会天津市分会（中国国际商会天津商会）商事法律服务中心</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商业服务业等支出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商业流通事务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其他商业流通事务支出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6,283,820.55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减少132,014.97元，下降2.06%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外贸企业服务性等收入减少，导致收、支减少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一般公共预算财政拨款收入196,300.00元、事业单位经营收入6,114,732.00元、其他收入101,428.85元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一般公共服务支出6,140,855.00元、卫生健康支出47,300.00元、商业服务业等支出43,500.00元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6,412,460.85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减少3,374.67元，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外贸企业服务性等收入减少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一般公共预算财政拨款收入196,300.00元，占3.06%；事业单位经营收入6,114,732.00元，占95.36%；其他收入101,428.85元，占1.58%</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6,231,655.00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减少234,179.30元，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一名职工退休</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基本支出156,411.00元，占2.51%；项目支出43,500.00元，占0.70%；经营支出6,031,744.00元，占96.79%</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196,300.00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减少5,200.00元，下降2.58%，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一般公共预算财政拨款196,300.00元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一般公共服务支出105,500.00元、卫生健康支出47,300.00元、商业服务业等支出43,500.00元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中国国际贸易促进委员会天津市分会（中国国际商会天津商会）商事法律服务中心2025年度一般公共预算财政拨款支出合计196,300.00元，占本年支出合计的3.15%。与2024年度相比，一般公共预算财政拨款支出</w:t>
      </w:r>
      <w:r>
        <w:rPr>
          <w:rFonts w:eastAsia="仿宋_GB2312" w:hint="eastAsia"/>
          <w:sz w:val="30"/>
          <w:szCs w:val="30"/>
          <w:highlight w:val="none"/>
          <w:lang w:val="en-US" w:eastAsia="zh-CN"/>
        </w:rPr>
        <w:t xml:space="preserve">减少5,200.00元</w:t>
      </w:r>
      <w:r>
        <w:rPr>
          <w:rFonts w:eastAsia="仿宋_GB2312" w:hint="eastAsia"/>
          <w:sz w:val="30"/>
          <w:szCs w:val="30"/>
          <w:highlight w:val="none"/>
          <w:lang w:val="en-US" w:eastAsia="zh-CN"/>
        </w:rPr>
        <w:t xml:space="preserve">，下降2.58%</w:t>
      </w:r>
      <w:r>
        <w:rPr>
          <w:rFonts w:eastAsia="仿宋_GB2312" w:hint="eastAsia"/>
          <w:sz w:val="30"/>
          <w:szCs w:val="30"/>
          <w:highlight w:val="none"/>
          <w:lang w:val="en-US" w:eastAsia="zh-CN"/>
        </w:rPr>
        <w:t xml:space="preserve">，主要原因是退休人员减少。</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2025年度一般公共预算财政拨款支出196,300.00元，主要用于以下方面：</w:t>
      </w:r>
      <w:r>
        <w:rPr>
          <w:rFonts w:eastAsia="仿宋_GB2312" w:hint="eastAsia"/>
          <w:sz w:val="30"/>
          <w:szCs w:val="30"/>
          <w:highlight w:val="none"/>
        </w:rPr>
        <w:t xml:space="preserve">一般公共服务支出（类）支出105,500.00元，占53.74%，卫生健康支出（类）支出47,300.00元，占24.10%，商业服务业等支出（类）支出43,500.00元，占22.16%</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2025年度一般公共预算财政拨款支出年初预算为158,000.00元，支出决算为196,300.00元</w:t>
      </w:r>
      <w:r>
        <w:rPr>
          <w:rFonts w:eastAsia="仿宋_GB2312" w:hint="eastAsia"/>
          <w:sz w:val="30"/>
          <w:szCs w:val="30"/>
          <w:highlight w:val="none"/>
          <w:lang w:val="en-US" w:eastAsia="zh-CN"/>
        </w:rPr>
        <w:t xml:space="preserve">，完成年初预算的124.24%</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1.一般公共服务支出（类）商贸事务（款）行政运行（项）年初预算为109,000.00元，支出决算为105,500.00元，完成年初预算的96.79%，决算数小于年初预算数的主要原因是：退休人员减少。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2.卫生健康支出（类）行政事业单位医疗（款）其他行政事业单位医疗支出（项）年初预算为49,000.00元，支出决算为47,300.00元，完成年初预算的96.53%，决算数小于年初预算数的主要原因是：退休人员减少。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3.商业服务业等支出（类）商业流通事务（款）其他商业流通事务支出（项）年初预算为0.00元，支出决算为43,500.00元，决算数大于年初预算数的主要原因是：年中追加抚恤金项目。</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中国国际贸易促进委员会天津市分会（中国国际商会天津商会）商事法律服务中心2025年度一般公共预算财政拨款基本支出合计152,800.00元，与2024年度相比</w:t>
      </w:r>
      <w:r>
        <w:rPr>
          <w:rFonts w:eastAsia="仿宋_GB2312" w:hint="eastAsia"/>
          <w:sz w:val="30"/>
          <w:szCs w:val="30"/>
          <w:highlight w:val="none"/>
          <w:lang w:val="en-US" w:eastAsia="zh-CN"/>
        </w:rPr>
        <w:t xml:space="preserve">减少5,200.00元，</w:t>
      </w:r>
      <w:r>
        <w:rPr>
          <w:rFonts w:eastAsia="仿宋_GB2312" w:hint="eastAsia"/>
          <w:sz w:val="30"/>
          <w:szCs w:val="30"/>
          <w:highlight w:val="none"/>
          <w:lang w:val="en-US" w:eastAsia="zh-CN"/>
        </w:rPr>
        <w:t xml:space="preserve">主要原因是退休人员减少。</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人员经费132,800.00元，主要包括</w:t>
      </w:r>
      <w:r>
        <w:rPr>
          <w:rFonts w:eastAsia="仿宋_GB2312" w:hint="eastAsia"/>
          <w:sz w:val="30"/>
          <w:szCs w:val="30"/>
          <w:highlight w:val="none"/>
          <w:lang w:val="en-US" w:eastAsia="zh-CN"/>
        </w:rPr>
        <w:t xml:space="preserve">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公用经费20,000.00元，主要包括</w:t>
      </w:r>
      <w:r>
        <w:rPr>
          <w:rFonts w:eastAsia="仿宋_GB2312" w:hint="eastAsia"/>
          <w:sz w:val="30"/>
          <w:szCs w:val="30"/>
          <w:highlight w:val="none"/>
          <w:lang w:val="en-US" w:eastAsia="zh-CN"/>
        </w:rPr>
        <w:t xml:space="preserve">福利费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政府采购支出总额9,552.00元，其中：政府采购货物支出9,552.00元、政府采购工程支出0.00元、政府采购服务支出0.00元。授予中小企业合同金额9,552.00元，占政府采购支出总额的100.00%，其中：授予小微企业合同金额9,552.00元，占政府采购支出总额的100.00%；货物采购授予中小企业合同金额占货物支出金额的100.00%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中国国际贸易促进委员会天津市分会（中国国际商会天津商会）商事法律服务中心2025年度无国有资产占有使用情况。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根据预算绩效管理要求,中国国际贸易促进委员会天津市分会（中国国际商会天津商会）商事法律服务中心已对1个2025年度市级项目开展绩效自评,涉及金额43,500.00元，自评结果已随部门决算一并公开。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中国国际贸易促进委员会天津市分会（中国国际商会天津商会）商事法律服务中心不属于乡、镇、街级单位,不涉及公开2025年度教育、医疗卫生、社会保障和就业、住房保障、涉农补贴等民生支出情况。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861E5165-9970-4B6B-BC3B-C619310D37CC}"/>
    <w:embedBold r:id="rId2" w:subsetted="1" w:fontKey="{FA813372-C8DE-4854-A8ED-C707AA856EBD}"/>
  </w:font>
  <w:font w:name="Cambria">
    <w:panose1 w:val="02040503050406030204"/>
    <w:charset w:val="00"/>
    <w:family w:val="roman"/>
    <w:pitch w:val="default"/>
    <w:sig w:usb0="E00006FF" w:usb1="420024FF" w:usb2="02000000" w:usb3="00000000" w:csb0="2000019F" w:csb1="00000000"/>
    <w:embedRegular r:id="rId3" w:fontKey="{1D702BDE-DAA2-47EC-8612-9D53014E9DE8}"/>
  </w:font>
  <w:font w:name="Calibri">
    <w:panose1 w:val="020F0502020204030204"/>
    <w:charset w:val="00"/>
    <w:family w:val="swiss"/>
    <w:pitch w:val="default"/>
    <w:sig w:usb0="E4002EFF" w:usb1="C200247B" w:usb2="00000009" w:usb3="00000000" w:csb0="200001FF" w:csb1="00000000"/>
    <w:embedRegular r:id="rId4" w:fontKey="{80F106E4-20AB-49B4-B1A0-34416CF89B37}"/>
  </w:font>
  <w:font w:name="黑体">
    <w:panose1 w:val="02010609060101010101"/>
    <w:charset w:val="FFFFFF86"/>
    <w:family w:val="auto"/>
    <w:pitch w:val="default"/>
    <w:sig w:usb0="800002BF" w:usb1="38CF7CFA" w:usb2="00000016" w:usb3="00000000" w:csb0="00040001" w:csb1="00000000"/>
    <w:embedRegular r:id="rId5" w:subsetted="1" w:fontKey="{462C663F-7016-448D-BD6A-BDEBCE022240}"/>
    <w:embedBold r:id="rId6" w:subsetted="1" w:fontKey="{9EA694A9-0982-42AE-B392-0FEBBAAA2D2A}"/>
  </w:font>
  <w:font w:name="方正小标宋简体">
    <w:altName w:val="黑体"/>
    <w:panose1 w:val="02000000000000000000"/>
    <w:charset w:val="FFFFFF86"/>
    <w:family w:val="auto"/>
    <w:pitch w:val="default"/>
    <w:sig w:usb0="00000001" w:usb1="08000000" w:usb2="00000000" w:usb3="00000000" w:csb0="00040000" w:csb1="00000000"/>
    <w:embedRegular r:id="rId7" w:fontKey="{C107FAA9-C168-41B5-8951-0F29B3B3EF10}"/>
    <w:embedBold r:id="rId8" w:fontKey="{58BF059E-9ECD-42C1-A70B-171FA78AC509}"/>
  </w:font>
  <w:font w:name="仿宋">
    <w:panose1 w:val="02010609060101010101"/>
    <w:charset w:val="FFFFFF86"/>
    <w:family w:val="auto"/>
    <w:pitch w:val="default"/>
    <w:sig w:usb0="800002BF" w:usb1="38CF7CFA" w:usb2="00000016" w:usb3="00000000" w:csb0="00040001" w:csb1="00000000"/>
    <w:embedRegular r:id="rId9" w:subsetted="1" w:fontKey="{39E5BA55-A4AC-4000-85BA-FF4A2E6DD74C}"/>
  </w:font>
  <w:font w:name="方正仿宋_GB2312">
    <w:altName w:val="仿宋"/>
    <w:panose1 w:val="02000000000000000000"/>
    <w:charset w:val="FFFFFF86"/>
    <w:family w:val="auto"/>
    <w:pitch w:val="default"/>
    <w:sig w:usb0="A00002BF" w:usb1="184F6CFA" w:usb2="00000012" w:usb3="00000000" w:csb0="00040001" w:csb1="00000000"/>
    <w:embedRegular r:id="rId10" w:fontKey="{93DB978D-BB7B-45B9-AB28-9D83867408A2}"/>
  </w:font>
  <w:font w:name="仿宋_GB2312">
    <w:altName w:val="仿宋"/>
    <w:panose1 w:val="02010609030101010101"/>
    <w:charset w:val="FFFFFF86"/>
    <w:family w:val="auto"/>
    <w:pitch w:val="default"/>
    <w:sig w:usb0="00000001" w:usb1="080E0000" w:usb2="00000000" w:usb3="00000000" w:csb0="00040000" w:csb1="00000000"/>
    <w:embedRegular r:id="rId11" w:fontKey="{C742F667-9219-4B21-8A73-20D34435AA1D}"/>
  </w:font>
  <w:font w:name="方正楷体_GB2312">
    <w:altName w:val="宋体"/>
    <w:panose1 w:val="02000000000000000000"/>
    <w:charset w:val="FFFFFF86"/>
    <w:family w:val="auto"/>
    <w:pitch w:val="default"/>
    <w:sig w:usb0="A00002BF" w:usb1="184F6CFA" w:usb2="00000012" w:usb3="00000000" w:csb0="00040001" w:csb1="00000000"/>
    <w:embedRegular r:id="rId12" w:fontKey="{F1E8BB57-EA3A-45B4-A534-D77D53CC2636}"/>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3" w:subsetted="1" w:fontKey="{29815842-903E-43A1-A5B5-7F13544F1D0E}"/>
    <w:embedBold r:id="rId14" w:subsetted="1" w:fontKey="{667C001C-C2D1-4CB6-B0B4-AFE38BE09175}"/>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25</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29</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